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56A9" w14:textId="295E3FAB" w:rsidR="00003528" w:rsidRPr="00424631" w:rsidRDefault="007F039F" w:rsidP="00B55B33">
      <w:pPr>
        <w:pStyle w:val="BodyText"/>
        <w:rPr>
          <w:rFonts w:ascii="Times New Roman"/>
          <w:sz w:val="15"/>
        </w:rPr>
      </w:pPr>
      <w:r w:rsidRPr="00424631">
        <w:rPr>
          <w:noProof/>
        </w:rPr>
        <w:drawing>
          <wp:anchor distT="0" distB="0" distL="114300" distR="114300" simplePos="0" relativeHeight="486402559" behindDoc="1" locked="0" layoutInCell="1" allowOverlap="1" wp14:anchorId="230436BA" wp14:editId="7B59C97E">
            <wp:simplePos x="0" y="0"/>
            <wp:positionH relativeFrom="page">
              <wp:posOffset>0</wp:posOffset>
            </wp:positionH>
            <wp:positionV relativeFrom="paragraph">
              <wp:posOffset>-942975</wp:posOffset>
            </wp:positionV>
            <wp:extent cx="7803934" cy="10051207"/>
            <wp:effectExtent l="0" t="0" r="6985" b="7620"/>
            <wp:wrapNone/>
            <wp:docPr id="2" name="Picture 2" descr="A white background with blue and gre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and green objec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03934" cy="10051207"/>
                    </a:xfrm>
                    <a:prstGeom prst="rect">
                      <a:avLst/>
                    </a:prstGeom>
                  </pic:spPr>
                </pic:pic>
              </a:graphicData>
            </a:graphic>
            <wp14:sizeRelH relativeFrom="margin">
              <wp14:pctWidth>0</wp14:pctWidth>
            </wp14:sizeRelH>
            <wp14:sizeRelV relativeFrom="margin">
              <wp14:pctHeight>0</wp14:pctHeight>
            </wp14:sizeRelV>
          </wp:anchor>
        </w:drawing>
      </w:r>
    </w:p>
    <w:p w14:paraId="01099C4F" w14:textId="1FBD577E" w:rsidR="00003528" w:rsidRPr="00424631" w:rsidRDefault="007F039F" w:rsidP="00B55B33">
      <w:pPr>
        <w:pStyle w:val="Title"/>
        <w:rPr>
          <w:sz w:val="40"/>
        </w:rPr>
      </w:pPr>
      <w:r w:rsidRPr="00424631">
        <w:rPr>
          <w:noProof/>
        </w:rPr>
        <mc:AlternateContent>
          <mc:Choice Requires="wps">
            <w:drawing>
              <wp:anchor distT="0" distB="0" distL="114300" distR="114300" simplePos="0" relativeHeight="486408703" behindDoc="0" locked="0" layoutInCell="1" allowOverlap="1" wp14:anchorId="13BB88FF" wp14:editId="64C1D273">
                <wp:simplePos x="0" y="0"/>
                <wp:positionH relativeFrom="margin">
                  <wp:posOffset>-571500</wp:posOffset>
                </wp:positionH>
                <wp:positionV relativeFrom="paragraph">
                  <wp:posOffset>652780</wp:posOffset>
                </wp:positionV>
                <wp:extent cx="7334250" cy="2095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B8CC2" w14:textId="376E8EE8" w:rsidR="007F039F" w:rsidRPr="00226C5D" w:rsidRDefault="007B2501" w:rsidP="007B2501">
                            <w:pPr>
                              <w:jc w:val="center"/>
                              <w:rPr>
                                <w:rFonts w:ascii="Arial" w:hAnsi="Arial"/>
                              </w:rPr>
                            </w:pPr>
                            <w:r w:rsidRPr="00226C5D">
                              <w:rPr>
                                <w:rFonts w:ascii="Arial" w:hAnsi="Arial"/>
                                <w:b/>
                                <w:bCs/>
                                <w:color w:val="003366"/>
                                <w:sz w:val="72"/>
                                <w:szCs w:val="72"/>
                              </w:rPr>
                              <w:t>Guidance for Implementing or Improving Voluntary Safety Reporting at the State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B88FF" id="_x0000_t202" coordsize="21600,21600" o:spt="202" path="m,l,21600r21600,l21600,xe">
                <v:stroke joinstyle="miter"/>
                <v:path gradientshapeok="t" o:connecttype="rect"/>
              </v:shapetype>
              <v:shape id="Text Box 3" o:spid="_x0000_s1026" type="#_x0000_t202" style="position:absolute;left:0;text-align:left;margin-left:-45pt;margin-top:51.4pt;width:577.5pt;height:165pt;z-index:486408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" stroked="f">
                <v:textbox>
                  <w:txbxContent>
                    <w:p w14:paraId="5F0B8CC2" w14:textId="376E8EE8" w:rsidR="007F039F" w:rsidRPr="00226C5D" w:rsidRDefault="007B2501" w:rsidP="007B2501">
                      <w:pPr>
                        <w:jc w:val="center"/>
                        <w:rPr>
                          <w:rFonts w:ascii="Arial" w:hAnsi="Arial"/>
                        </w:rPr>
                      </w:pPr>
                      <w:r w:rsidRPr="00226C5D">
                        <w:rPr>
                          <w:rFonts w:ascii="Arial" w:hAnsi="Arial"/>
                          <w:b/>
                          <w:bCs/>
                          <w:color w:val="003366"/>
                          <w:sz w:val="72"/>
                          <w:szCs w:val="72"/>
                        </w:rPr>
                        <w:t>Guidance for Implementing or Improving Voluntary Safety Reporting at the State Level</w:t>
                      </w:r>
                    </w:p>
                  </w:txbxContent>
                </v:textbox>
                <w10:wrap anchorx="margin"/>
              </v:shape>
            </w:pict>
          </mc:Fallback>
        </mc:AlternateContent>
      </w:r>
      <w:r w:rsidRPr="00424631">
        <w:rPr>
          <w:noProof/>
        </w:rPr>
        <mc:AlternateContent>
          <mc:Choice Requires="wps">
            <w:drawing>
              <wp:anchor distT="0" distB="0" distL="114300" distR="114300" simplePos="0" relativeHeight="486406655" behindDoc="0" locked="0" layoutInCell="1" allowOverlap="1" wp14:anchorId="024CF61D" wp14:editId="600B7256">
                <wp:simplePos x="0" y="0"/>
                <wp:positionH relativeFrom="margin">
                  <wp:align>center</wp:align>
                </wp:positionH>
                <wp:positionV relativeFrom="paragraph">
                  <wp:posOffset>6181725</wp:posOffset>
                </wp:positionV>
                <wp:extent cx="27432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6F2E3" w14:textId="366D3CB8" w:rsidR="007F039F" w:rsidRPr="00226C5D" w:rsidRDefault="00F63741" w:rsidP="00B55B33">
                            <w:pPr>
                              <w:jc w:val="center"/>
                              <w:rPr>
                                <w:rFonts w:ascii="Arial" w:hAnsi="Arial"/>
                                <w:b/>
                                <w:bCs/>
                                <w:color w:val="003366"/>
                                <w:sz w:val="48"/>
                                <w:szCs w:val="48"/>
                              </w:rPr>
                            </w:pPr>
                            <w:r>
                              <w:rPr>
                                <w:rFonts w:ascii="Arial" w:hAnsi="Arial"/>
                                <w:b/>
                                <w:bCs/>
                                <w:color w:val="003366"/>
                                <w:sz w:val="48"/>
                                <w:szCs w:val="48"/>
                              </w:rPr>
                              <w:t>January</w:t>
                            </w:r>
                            <w:r w:rsidR="007F039F" w:rsidRPr="00226C5D">
                              <w:rPr>
                                <w:rFonts w:ascii="Arial" w:hAnsi="Arial"/>
                                <w:b/>
                                <w:bCs/>
                                <w:color w:val="003366"/>
                                <w:sz w:val="48"/>
                                <w:szCs w:val="48"/>
                              </w:rPr>
                              <w:t xml:space="preserve"> 202</w:t>
                            </w:r>
                            <w:r>
                              <w:rPr>
                                <w:rFonts w:ascii="Arial" w:hAnsi="Arial"/>
                                <w:b/>
                                <w:bCs/>
                                <w:color w:val="003366"/>
                                <w:sz w:val="48"/>
                                <w:szCs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CF61D" id="Text Box 4" o:spid="_x0000_s1027" type="#_x0000_t202" style="position:absolute;left:0;text-align:left;margin-left:0;margin-top:486.75pt;width:3in;height:36pt;z-index:4864066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" stroked="f">
                <v:textbox>
                  <w:txbxContent>
                    <w:p w14:paraId="0A76F2E3" w14:textId="366D3CB8" w:rsidR="007F039F" w:rsidRPr="00226C5D" w:rsidRDefault="00F63741" w:rsidP="00B55B33">
                      <w:pPr>
                        <w:jc w:val="center"/>
                        <w:rPr>
                          <w:rFonts w:ascii="Arial" w:hAnsi="Arial"/>
                          <w:b/>
                          <w:bCs/>
                          <w:color w:val="003366"/>
                          <w:sz w:val="48"/>
                          <w:szCs w:val="48"/>
                        </w:rPr>
                      </w:pPr>
                      <w:r>
                        <w:rPr>
                          <w:rFonts w:ascii="Arial" w:hAnsi="Arial"/>
                          <w:b/>
                          <w:bCs/>
                          <w:color w:val="003366"/>
                          <w:sz w:val="48"/>
                          <w:szCs w:val="48"/>
                        </w:rPr>
                        <w:t>January</w:t>
                      </w:r>
                      <w:r w:rsidR="007F039F" w:rsidRPr="00226C5D">
                        <w:rPr>
                          <w:rFonts w:ascii="Arial" w:hAnsi="Arial"/>
                          <w:b/>
                          <w:bCs/>
                          <w:color w:val="003366"/>
                          <w:sz w:val="48"/>
                          <w:szCs w:val="48"/>
                        </w:rPr>
                        <w:t xml:space="preserve"> 202</w:t>
                      </w:r>
                      <w:r>
                        <w:rPr>
                          <w:rFonts w:ascii="Arial" w:hAnsi="Arial"/>
                          <w:b/>
                          <w:bCs/>
                          <w:color w:val="003366"/>
                          <w:sz w:val="48"/>
                          <w:szCs w:val="48"/>
                        </w:rPr>
                        <w:t>5</w:t>
                      </w:r>
                    </w:p>
                  </w:txbxContent>
                </v:textbox>
                <w10:wrap anchorx="margin"/>
              </v:shape>
            </w:pict>
          </mc:Fallback>
        </mc:AlternateContent>
      </w:r>
      <w:r w:rsidRPr="00424631">
        <w:rPr>
          <w:rFonts w:eastAsia="Calibri" w:cs="Calibri"/>
          <w:noProof/>
          <w:szCs w:val="22"/>
          <w:lang w:eastAsia="en-NZ"/>
        </w:rPr>
        <w:drawing>
          <wp:anchor distT="0" distB="0" distL="114300" distR="114300" simplePos="0" relativeHeight="486404607" behindDoc="1" locked="0" layoutInCell="1" allowOverlap="1" wp14:anchorId="1548C7A4" wp14:editId="2C4396FB">
            <wp:simplePos x="0" y="0"/>
            <wp:positionH relativeFrom="column">
              <wp:posOffset>1447800</wp:posOffset>
            </wp:positionH>
            <wp:positionV relativeFrom="paragraph">
              <wp:posOffset>2954020</wp:posOffset>
            </wp:positionV>
            <wp:extent cx="3251200" cy="2804160"/>
            <wp:effectExtent l="0" t="0" r="6350" b="0"/>
            <wp:wrapNone/>
            <wp:docPr id="5" name="Picture 5"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Logo_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0D6" w:rsidRPr="00424631">
        <w:rPr>
          <w:rFonts w:eastAsia="Calibri" w:cs="Calibri"/>
          <w:szCs w:val="22"/>
          <w:lang w:eastAsia="en-NZ"/>
        </w:rPr>
        <w:t xml:space="preserve"> </w:t>
      </w:r>
    </w:p>
    <w:p w14:paraId="68BE3845" w14:textId="77777777" w:rsidR="00003528" w:rsidRPr="00424631" w:rsidRDefault="00003528" w:rsidP="00B55B33">
      <w:pPr>
        <w:sectPr w:rsidR="00003528" w:rsidRPr="00424631" w:rsidSect="00BC597D">
          <w:headerReference w:type="even" r:id="rId13"/>
          <w:headerReference w:type="default" r:id="rId14"/>
          <w:headerReference w:type="first" r:id="rId15"/>
          <w:type w:val="continuous"/>
          <w:pgSz w:w="12240" w:h="15840"/>
          <w:pgMar w:top="1500" w:right="1340" w:bottom="280" w:left="1320" w:header="720" w:footer="720" w:gutter="0"/>
          <w:cols w:space="720"/>
        </w:sectPr>
      </w:pPr>
    </w:p>
    <w:p w14:paraId="3DD99F3F" w14:textId="77777777" w:rsidR="009C1E8D" w:rsidRPr="00B55B33" w:rsidRDefault="009C1E8D" w:rsidP="000063A4">
      <w:r w:rsidRPr="00B55B33">
        <w:lastRenderedPageBreak/>
        <w:t>This paper was prepared by the Safety Management International Collaboration Group (SM ICG). The purpose of the SM ICG is to promote a common understanding of Safety Management System (SMS) / State Safety Programme (SSP) principles and requirements, facilitating their application across the international aviation community. In this document, the term “organisation” refers to an aviation service provider, operator, business, and company, as well as aviation industry organisations; and the term “authority” refers to the regulator authority, Civil Aviation Authority (CAA), National Aviation Authority (NAA), and any other relevant government agency or entity with oversight responsibility.</w:t>
      </w:r>
    </w:p>
    <w:p w14:paraId="60BF19F0" w14:textId="77777777" w:rsidR="009C1E8D" w:rsidRPr="00424631" w:rsidRDefault="009C1E8D" w:rsidP="000063A4">
      <w:bookmarkStart w:id="0" w:name="_Hlk117141061"/>
      <w:r w:rsidRPr="00424631">
        <w:t>The current core membership of the SM ICG includes the Aviation Safety and Security Agency (AESA) of Spain, the National Civil Aviation Agency (ANAC) of Brazil, the Bermuda Civil Aviation Authority (BCAA),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l'Aviation Civile (DGAC) in France, the Ente Nazionale per l'Aviazione Civile (ENAC) in Italy, the European Union Aviation Safety Agency (EASA), the Dominican Republic Civil Aviation Institute (IDAC), the Finnish Transport and Communications Agency (Traficom),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Organisation (ICAO) is an observer to this group.</w:t>
      </w:r>
      <w:bookmarkEnd w:id="0"/>
    </w:p>
    <w:p w14:paraId="1E52F52A" w14:textId="77777777" w:rsidR="009C1E8D" w:rsidRPr="00424631" w:rsidRDefault="009C1E8D" w:rsidP="000063A4">
      <w:r w:rsidRPr="00424631">
        <w:t>Members of the SM ICG:</w:t>
      </w:r>
    </w:p>
    <w:p w14:paraId="6F941217" w14:textId="77777777" w:rsidR="009C1E8D" w:rsidRPr="00424631" w:rsidRDefault="009C1E8D" w:rsidP="003E382C">
      <w:pPr>
        <w:pStyle w:val="ListParagraph"/>
        <w:numPr>
          <w:ilvl w:val="0"/>
          <w:numId w:val="1"/>
        </w:numPr>
        <w:spacing w:after="0"/>
      </w:pPr>
      <w:r w:rsidRPr="00424631">
        <w:t>Collaborate on common SMS/SSP topics of interest</w:t>
      </w:r>
    </w:p>
    <w:p w14:paraId="1E86E149" w14:textId="77777777" w:rsidR="009C1E8D" w:rsidRPr="00424631" w:rsidRDefault="009C1E8D" w:rsidP="003E382C">
      <w:pPr>
        <w:pStyle w:val="ListParagraph"/>
        <w:numPr>
          <w:ilvl w:val="0"/>
          <w:numId w:val="1"/>
        </w:numPr>
        <w:spacing w:before="0" w:after="0"/>
      </w:pPr>
      <w:r w:rsidRPr="00424631">
        <w:t>Share lessons learned</w:t>
      </w:r>
    </w:p>
    <w:p w14:paraId="377D7AC5" w14:textId="67E30BE4" w:rsidR="009C1E8D" w:rsidRPr="00424631" w:rsidRDefault="009C1E8D" w:rsidP="003E382C">
      <w:pPr>
        <w:pStyle w:val="ListParagraph"/>
        <w:numPr>
          <w:ilvl w:val="0"/>
          <w:numId w:val="1"/>
        </w:numPr>
        <w:spacing w:before="0" w:after="0"/>
      </w:pPr>
      <w:r w:rsidRPr="00424631">
        <w:t>Encourage the progression of a harmoni</w:t>
      </w:r>
      <w:r w:rsidR="00CC33AB">
        <w:t>z</w:t>
      </w:r>
      <w:r w:rsidRPr="00424631">
        <w:t>ed SMS/SSP</w:t>
      </w:r>
    </w:p>
    <w:p w14:paraId="63DBBBD2" w14:textId="77777777" w:rsidR="009C1E8D" w:rsidRPr="00424631" w:rsidRDefault="009C1E8D" w:rsidP="003E382C">
      <w:pPr>
        <w:pStyle w:val="ListParagraph"/>
        <w:numPr>
          <w:ilvl w:val="0"/>
          <w:numId w:val="1"/>
        </w:numPr>
        <w:spacing w:before="0" w:after="0"/>
      </w:pPr>
      <w:r w:rsidRPr="00424631">
        <w:t>Share products with the aviation community</w:t>
      </w:r>
    </w:p>
    <w:p w14:paraId="7FC14279" w14:textId="77777777" w:rsidR="009C1E8D" w:rsidRPr="00424631" w:rsidRDefault="009C1E8D" w:rsidP="003E382C">
      <w:pPr>
        <w:pStyle w:val="ListParagraph"/>
        <w:numPr>
          <w:ilvl w:val="0"/>
          <w:numId w:val="1"/>
        </w:numPr>
        <w:spacing w:before="0"/>
      </w:pPr>
      <w:r w:rsidRPr="00424631">
        <w:t>Collaborate with international organisations such as ICAO and civil aviation authorities that have implemented or are implementing SMS and SSP</w:t>
      </w:r>
    </w:p>
    <w:p w14:paraId="34201E55" w14:textId="77777777" w:rsidR="009C1E8D" w:rsidRPr="00424631" w:rsidRDefault="009C1E8D" w:rsidP="00B55B33">
      <w:r w:rsidRPr="00424631">
        <w:t xml:space="preserve">Please send any questions regarding this product to </w:t>
      </w:r>
      <w:hyperlink r:id="rId16" w:history="1">
        <w:r w:rsidRPr="00424631">
          <w:rPr>
            <w:rStyle w:val="Hyperlink"/>
          </w:rPr>
          <w:t>smicg.share@gmail.com</w:t>
        </w:r>
      </w:hyperlink>
      <w:r w:rsidRPr="00424631">
        <w:t>. For further information regarding the SM ICG or to download SM ICG products, please visit SKYbrary at</w:t>
      </w:r>
      <w:r w:rsidRPr="00424631">
        <w:rPr>
          <w:i/>
        </w:rPr>
        <w:t xml:space="preserve"> </w:t>
      </w:r>
      <w:hyperlink r:id="rId17" w:history="1">
        <w:r w:rsidRPr="00424631">
          <w:rPr>
            <w:rStyle w:val="Hyperlink"/>
          </w:rPr>
          <w:t>http://bit.ly/SM ICG</w:t>
        </w:r>
      </w:hyperlink>
      <w:r w:rsidRPr="00424631">
        <w:t>.</w:t>
      </w:r>
    </w:p>
    <w:p w14:paraId="616D1CB8" w14:textId="43BA358B" w:rsidR="00BA35B2" w:rsidRPr="00424631" w:rsidRDefault="00BA35B2" w:rsidP="00B55B33"/>
    <w:p w14:paraId="6847E526" w14:textId="041FD074" w:rsidR="00FB2561" w:rsidRPr="00424631" w:rsidRDefault="00FB2561" w:rsidP="00B55B33"/>
    <w:p w14:paraId="1137CFF0" w14:textId="77777777" w:rsidR="00BA35B2" w:rsidRPr="00424631" w:rsidRDefault="00BA35B2" w:rsidP="00B55B33"/>
    <w:p w14:paraId="5FA60991" w14:textId="77777777" w:rsidR="00BA35B2" w:rsidRPr="00424631" w:rsidRDefault="00BA35B2" w:rsidP="00B55B33"/>
    <w:p w14:paraId="295BB273" w14:textId="77777777" w:rsidR="009C1E8D" w:rsidRPr="00424631" w:rsidRDefault="009C1E8D" w:rsidP="00B55B33">
      <w:r w:rsidRPr="00424631">
        <w:br w:type="page"/>
      </w:r>
    </w:p>
    <w:p w14:paraId="70E23F86" w14:textId="77777777" w:rsidR="005867A1" w:rsidRDefault="00711F86" w:rsidP="00906194">
      <w:pPr>
        <w:pStyle w:val="Heading1"/>
        <w:numPr>
          <w:ilvl w:val="0"/>
          <w:numId w:val="0"/>
        </w:numPr>
        <w:spacing w:after="0"/>
        <w:ind w:left="180"/>
        <w:jc w:val="center"/>
      </w:pPr>
      <w:bookmarkStart w:id="1" w:name="_Toc168060774"/>
      <w:bookmarkStart w:id="2" w:name="_Toc168060814"/>
      <w:bookmarkStart w:id="3" w:name="_Toc168066118"/>
      <w:bookmarkStart w:id="4" w:name="_Toc168066173"/>
      <w:bookmarkStart w:id="5" w:name="_Toc168299476"/>
      <w:bookmarkStart w:id="6" w:name="_Toc168304457"/>
      <w:bookmarkStart w:id="7" w:name="_Toc168327326"/>
      <w:bookmarkStart w:id="8" w:name="_Toc168572178"/>
      <w:bookmarkStart w:id="9" w:name="_Toc177555949"/>
      <w:bookmarkStart w:id="10" w:name="_Toc177726054"/>
      <w:bookmarkStart w:id="11" w:name="_Toc187919586"/>
      <w:r w:rsidRPr="00424631">
        <w:lastRenderedPageBreak/>
        <w:t>Table of</w:t>
      </w:r>
      <w:r w:rsidRPr="00424631">
        <w:rPr>
          <w:spacing w:val="3"/>
        </w:rPr>
        <w:t xml:space="preserve"> </w:t>
      </w:r>
      <w:r w:rsidRPr="00424631">
        <w:t>Contents</w:t>
      </w:r>
      <w:bookmarkEnd w:id="1"/>
      <w:bookmarkEnd w:id="2"/>
      <w:bookmarkEnd w:id="3"/>
      <w:bookmarkEnd w:id="4"/>
      <w:bookmarkEnd w:id="5"/>
      <w:bookmarkEnd w:id="6"/>
      <w:bookmarkEnd w:id="7"/>
      <w:bookmarkEnd w:id="8"/>
      <w:bookmarkEnd w:id="9"/>
      <w:bookmarkEnd w:id="10"/>
      <w:bookmarkEnd w:id="11"/>
    </w:p>
    <w:p w14:paraId="773B0EA0" w14:textId="77777777" w:rsidR="0001250D" w:rsidRPr="0001250D" w:rsidRDefault="0001250D" w:rsidP="0001250D">
      <w:pPr>
        <w:pStyle w:val="Heading1"/>
        <w:numPr>
          <w:ilvl w:val="0"/>
          <w:numId w:val="0"/>
        </w:numPr>
        <w:spacing w:before="0" w:after="0"/>
        <w:ind w:left="180"/>
        <w:jc w:val="center"/>
        <w:rPr>
          <w:sz w:val="18"/>
          <w:szCs w:val="18"/>
        </w:rPr>
      </w:pPr>
    </w:p>
    <w:p w14:paraId="33BC77D8" w14:textId="46D5E89B" w:rsidR="0001734D" w:rsidRDefault="006643B6" w:rsidP="0001250D">
      <w:pPr>
        <w:pStyle w:val="TOC1"/>
        <w:tabs>
          <w:tab w:val="right" w:leader="dot" w:pos="9570"/>
        </w:tabs>
        <w:spacing w:after="0"/>
        <w:rPr>
          <w:rFonts w:eastAsiaTheme="minorEastAsia" w:cstheme="minorBidi"/>
          <w:noProof/>
          <w:color w:val="auto"/>
          <w:kern w:val="2"/>
          <w:szCs w:val="24"/>
          <w:lang w:val="en-US"/>
          <w14:ligatures w14:val="standardContextual"/>
        </w:rPr>
      </w:pPr>
      <w:r w:rsidRPr="00424631">
        <w:fldChar w:fldCharType="begin"/>
      </w:r>
      <w:r w:rsidRPr="00424631">
        <w:instrText xml:space="preserve"> TOC \o "1-2" \h \z \u </w:instrText>
      </w:r>
      <w:r w:rsidRPr="00424631">
        <w:fldChar w:fldCharType="separate"/>
      </w:r>
      <w:hyperlink w:anchor="_Toc187919586" w:history="1"/>
      <w:hyperlink w:anchor="_Toc187919587" w:history="1">
        <w:r w:rsidR="0001734D" w:rsidRPr="000E6A75">
          <w:rPr>
            <w:rStyle w:val="Hyperlink"/>
            <w:rFonts w:eastAsia="Arial"/>
            <w:noProof/>
          </w:rPr>
          <w:t>1.</w:t>
        </w:r>
        <w:r w:rsidR="0001734D">
          <w:rPr>
            <w:rFonts w:eastAsiaTheme="minorEastAsia" w:cstheme="minorBidi"/>
            <w:noProof/>
            <w:color w:val="auto"/>
            <w:kern w:val="2"/>
            <w:szCs w:val="24"/>
            <w:lang w:val="en-US"/>
            <w14:ligatures w14:val="standardContextual"/>
          </w:rPr>
          <w:tab/>
        </w:r>
        <w:r w:rsidR="0001734D" w:rsidRPr="000E6A75">
          <w:rPr>
            <w:rStyle w:val="Hyperlink"/>
            <w:rFonts w:eastAsia="Arial"/>
            <w:noProof/>
          </w:rPr>
          <w:t>Introduction</w:t>
        </w:r>
        <w:r w:rsidR="0001734D">
          <w:rPr>
            <w:noProof/>
            <w:webHidden/>
          </w:rPr>
          <w:tab/>
        </w:r>
        <w:r w:rsidR="0001734D">
          <w:rPr>
            <w:noProof/>
            <w:webHidden/>
          </w:rPr>
          <w:fldChar w:fldCharType="begin"/>
        </w:r>
        <w:r w:rsidR="0001734D">
          <w:rPr>
            <w:noProof/>
            <w:webHidden/>
          </w:rPr>
          <w:instrText xml:space="preserve"> PAGEREF _Toc187919587 \h </w:instrText>
        </w:r>
        <w:r w:rsidR="0001734D">
          <w:rPr>
            <w:noProof/>
            <w:webHidden/>
          </w:rPr>
        </w:r>
        <w:r w:rsidR="0001734D">
          <w:rPr>
            <w:noProof/>
            <w:webHidden/>
          </w:rPr>
          <w:fldChar w:fldCharType="separate"/>
        </w:r>
        <w:r w:rsidR="0001734D">
          <w:rPr>
            <w:noProof/>
            <w:webHidden/>
          </w:rPr>
          <w:t>1</w:t>
        </w:r>
        <w:r w:rsidR="0001734D">
          <w:rPr>
            <w:noProof/>
            <w:webHidden/>
          </w:rPr>
          <w:fldChar w:fldCharType="end"/>
        </w:r>
      </w:hyperlink>
    </w:p>
    <w:p w14:paraId="604E55EF" w14:textId="37EDB112"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588" w:history="1">
        <w:r w:rsidRPr="000E6A75">
          <w:rPr>
            <w:rStyle w:val="Hyperlink"/>
            <w:rFonts w:eastAsia="Arial"/>
            <w:noProof/>
          </w:rPr>
          <w:t>2.</w:t>
        </w:r>
        <w:r>
          <w:rPr>
            <w:rFonts w:eastAsiaTheme="minorEastAsia" w:cstheme="minorBidi"/>
            <w:noProof/>
            <w:color w:val="auto"/>
            <w:kern w:val="2"/>
            <w:szCs w:val="24"/>
            <w:lang w:val="en-US"/>
            <w14:ligatures w14:val="standardContextual"/>
          </w:rPr>
          <w:tab/>
        </w:r>
        <w:r w:rsidRPr="000E6A75">
          <w:rPr>
            <w:rStyle w:val="Hyperlink"/>
            <w:rFonts w:eastAsia="Arial"/>
            <w:noProof/>
          </w:rPr>
          <w:t>Background</w:t>
        </w:r>
        <w:r>
          <w:rPr>
            <w:noProof/>
            <w:webHidden/>
          </w:rPr>
          <w:tab/>
        </w:r>
        <w:r>
          <w:rPr>
            <w:noProof/>
            <w:webHidden/>
          </w:rPr>
          <w:fldChar w:fldCharType="begin"/>
        </w:r>
        <w:r>
          <w:rPr>
            <w:noProof/>
            <w:webHidden/>
          </w:rPr>
          <w:instrText xml:space="preserve"> PAGEREF _Toc187919588 \h </w:instrText>
        </w:r>
        <w:r>
          <w:rPr>
            <w:noProof/>
            <w:webHidden/>
          </w:rPr>
        </w:r>
        <w:r>
          <w:rPr>
            <w:noProof/>
            <w:webHidden/>
          </w:rPr>
          <w:fldChar w:fldCharType="separate"/>
        </w:r>
        <w:r>
          <w:rPr>
            <w:noProof/>
            <w:webHidden/>
          </w:rPr>
          <w:t>1</w:t>
        </w:r>
        <w:r>
          <w:rPr>
            <w:noProof/>
            <w:webHidden/>
          </w:rPr>
          <w:fldChar w:fldCharType="end"/>
        </w:r>
      </w:hyperlink>
    </w:p>
    <w:p w14:paraId="3843A211" w14:textId="1975D717"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589" w:history="1">
        <w:r w:rsidRPr="000E6A75">
          <w:rPr>
            <w:rStyle w:val="Hyperlink"/>
            <w:rFonts w:eastAsia="Arial"/>
            <w:noProof/>
          </w:rPr>
          <w:t>3.</w:t>
        </w:r>
        <w:r>
          <w:rPr>
            <w:rFonts w:eastAsiaTheme="minorEastAsia" w:cstheme="minorBidi"/>
            <w:noProof/>
            <w:color w:val="auto"/>
            <w:kern w:val="2"/>
            <w:szCs w:val="24"/>
            <w:lang w:val="en-US"/>
            <w14:ligatures w14:val="standardContextual"/>
          </w:rPr>
          <w:tab/>
        </w:r>
        <w:r w:rsidRPr="000E6A75">
          <w:rPr>
            <w:rStyle w:val="Hyperlink"/>
            <w:rFonts w:eastAsia="Arial"/>
            <w:noProof/>
          </w:rPr>
          <w:t>Definitions</w:t>
        </w:r>
        <w:r>
          <w:rPr>
            <w:noProof/>
            <w:webHidden/>
          </w:rPr>
          <w:tab/>
        </w:r>
        <w:r>
          <w:rPr>
            <w:noProof/>
            <w:webHidden/>
          </w:rPr>
          <w:fldChar w:fldCharType="begin"/>
        </w:r>
        <w:r>
          <w:rPr>
            <w:noProof/>
            <w:webHidden/>
          </w:rPr>
          <w:instrText xml:space="preserve"> PAGEREF _Toc187919589 \h </w:instrText>
        </w:r>
        <w:r>
          <w:rPr>
            <w:noProof/>
            <w:webHidden/>
          </w:rPr>
        </w:r>
        <w:r>
          <w:rPr>
            <w:noProof/>
            <w:webHidden/>
          </w:rPr>
          <w:fldChar w:fldCharType="separate"/>
        </w:r>
        <w:r>
          <w:rPr>
            <w:noProof/>
            <w:webHidden/>
          </w:rPr>
          <w:t>3</w:t>
        </w:r>
        <w:r>
          <w:rPr>
            <w:noProof/>
            <w:webHidden/>
          </w:rPr>
          <w:fldChar w:fldCharType="end"/>
        </w:r>
      </w:hyperlink>
    </w:p>
    <w:p w14:paraId="15AD43C4" w14:textId="33EAF064"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590" w:history="1">
        <w:r w:rsidRPr="000E6A75">
          <w:rPr>
            <w:rStyle w:val="Hyperlink"/>
            <w:rFonts w:eastAsia="Arial"/>
            <w:noProof/>
          </w:rPr>
          <w:t>4.</w:t>
        </w:r>
        <w:r>
          <w:rPr>
            <w:rFonts w:eastAsiaTheme="minorEastAsia" w:cstheme="minorBidi"/>
            <w:noProof/>
            <w:color w:val="auto"/>
            <w:kern w:val="2"/>
            <w:szCs w:val="24"/>
            <w:lang w:val="en-US"/>
            <w14:ligatures w14:val="standardContextual"/>
          </w:rPr>
          <w:tab/>
        </w:r>
        <w:r w:rsidRPr="000E6A75">
          <w:rPr>
            <w:rStyle w:val="Hyperlink"/>
            <w:rFonts w:eastAsia="Arial"/>
            <w:noProof/>
          </w:rPr>
          <w:t>Structure</w:t>
        </w:r>
        <w:r>
          <w:rPr>
            <w:noProof/>
            <w:webHidden/>
          </w:rPr>
          <w:tab/>
        </w:r>
        <w:r>
          <w:rPr>
            <w:noProof/>
            <w:webHidden/>
          </w:rPr>
          <w:fldChar w:fldCharType="begin"/>
        </w:r>
        <w:r>
          <w:rPr>
            <w:noProof/>
            <w:webHidden/>
          </w:rPr>
          <w:instrText xml:space="preserve"> PAGEREF _Toc187919590 \h </w:instrText>
        </w:r>
        <w:r>
          <w:rPr>
            <w:noProof/>
            <w:webHidden/>
          </w:rPr>
        </w:r>
        <w:r>
          <w:rPr>
            <w:noProof/>
            <w:webHidden/>
          </w:rPr>
          <w:fldChar w:fldCharType="separate"/>
        </w:r>
        <w:r>
          <w:rPr>
            <w:noProof/>
            <w:webHidden/>
          </w:rPr>
          <w:t>3</w:t>
        </w:r>
        <w:r>
          <w:rPr>
            <w:noProof/>
            <w:webHidden/>
          </w:rPr>
          <w:fldChar w:fldCharType="end"/>
        </w:r>
      </w:hyperlink>
    </w:p>
    <w:p w14:paraId="330D64A9" w14:textId="794ED6E7"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591" w:history="1">
        <w:r w:rsidRPr="000E6A75">
          <w:rPr>
            <w:rStyle w:val="Hyperlink"/>
            <w:rFonts w:eastAsia="Arial"/>
            <w:noProof/>
          </w:rPr>
          <w:t>5.</w:t>
        </w:r>
        <w:r>
          <w:rPr>
            <w:rFonts w:eastAsiaTheme="minorEastAsia" w:cstheme="minorBidi"/>
            <w:noProof/>
            <w:color w:val="auto"/>
            <w:kern w:val="2"/>
            <w:szCs w:val="24"/>
            <w:lang w:val="en-US"/>
            <w14:ligatures w14:val="standardContextual"/>
          </w:rPr>
          <w:tab/>
        </w:r>
        <w:r w:rsidRPr="000E6A75">
          <w:rPr>
            <w:rStyle w:val="Hyperlink"/>
            <w:rFonts w:eastAsia="Arial"/>
            <w:noProof/>
          </w:rPr>
          <w:t>General Processing of Reports</w:t>
        </w:r>
        <w:r>
          <w:rPr>
            <w:noProof/>
            <w:webHidden/>
          </w:rPr>
          <w:tab/>
        </w:r>
        <w:r>
          <w:rPr>
            <w:noProof/>
            <w:webHidden/>
          </w:rPr>
          <w:fldChar w:fldCharType="begin"/>
        </w:r>
        <w:r>
          <w:rPr>
            <w:noProof/>
            <w:webHidden/>
          </w:rPr>
          <w:instrText xml:space="preserve"> PAGEREF _Toc187919591 \h </w:instrText>
        </w:r>
        <w:r>
          <w:rPr>
            <w:noProof/>
            <w:webHidden/>
          </w:rPr>
        </w:r>
        <w:r>
          <w:rPr>
            <w:noProof/>
            <w:webHidden/>
          </w:rPr>
          <w:fldChar w:fldCharType="separate"/>
        </w:r>
        <w:r>
          <w:rPr>
            <w:noProof/>
            <w:webHidden/>
          </w:rPr>
          <w:t>4</w:t>
        </w:r>
        <w:r>
          <w:rPr>
            <w:noProof/>
            <w:webHidden/>
          </w:rPr>
          <w:fldChar w:fldCharType="end"/>
        </w:r>
      </w:hyperlink>
    </w:p>
    <w:p w14:paraId="23DB728D" w14:textId="265B3F50"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592" w:history="1">
        <w:r w:rsidRPr="000E6A75">
          <w:rPr>
            <w:rStyle w:val="Hyperlink"/>
            <w:rFonts w:eastAsia="Arial"/>
            <w:noProof/>
          </w:rPr>
          <w:t>6.</w:t>
        </w:r>
        <w:r>
          <w:rPr>
            <w:rFonts w:eastAsiaTheme="minorEastAsia" w:cstheme="minorBidi"/>
            <w:noProof/>
            <w:color w:val="auto"/>
            <w:kern w:val="2"/>
            <w:szCs w:val="24"/>
            <w:lang w:val="en-US"/>
            <w14:ligatures w14:val="standardContextual"/>
          </w:rPr>
          <w:tab/>
        </w:r>
        <w:r w:rsidRPr="000E6A75">
          <w:rPr>
            <w:rStyle w:val="Hyperlink"/>
            <w:rFonts w:eastAsia="Arial"/>
            <w:noProof/>
          </w:rPr>
          <w:t>Interfaces</w:t>
        </w:r>
        <w:r>
          <w:rPr>
            <w:noProof/>
            <w:webHidden/>
          </w:rPr>
          <w:tab/>
        </w:r>
        <w:r>
          <w:rPr>
            <w:noProof/>
            <w:webHidden/>
          </w:rPr>
          <w:fldChar w:fldCharType="begin"/>
        </w:r>
        <w:r>
          <w:rPr>
            <w:noProof/>
            <w:webHidden/>
          </w:rPr>
          <w:instrText xml:space="preserve"> PAGEREF _Toc187919592 \h </w:instrText>
        </w:r>
        <w:r>
          <w:rPr>
            <w:noProof/>
            <w:webHidden/>
          </w:rPr>
        </w:r>
        <w:r>
          <w:rPr>
            <w:noProof/>
            <w:webHidden/>
          </w:rPr>
          <w:fldChar w:fldCharType="separate"/>
        </w:r>
        <w:r>
          <w:rPr>
            <w:noProof/>
            <w:webHidden/>
          </w:rPr>
          <w:t>6</w:t>
        </w:r>
        <w:r>
          <w:rPr>
            <w:noProof/>
            <w:webHidden/>
          </w:rPr>
          <w:fldChar w:fldCharType="end"/>
        </w:r>
      </w:hyperlink>
    </w:p>
    <w:p w14:paraId="34C645D1" w14:textId="1EE3E207" w:rsidR="0001734D" w:rsidRDefault="0001734D">
      <w:pPr>
        <w:pStyle w:val="TOC2"/>
        <w:rPr>
          <w:rFonts w:eastAsiaTheme="minorEastAsia" w:cstheme="minorBidi"/>
          <w:noProof/>
          <w:color w:val="auto"/>
          <w:kern w:val="2"/>
          <w:szCs w:val="24"/>
          <w:lang w:val="en-US"/>
          <w14:ligatures w14:val="standardContextual"/>
        </w:rPr>
      </w:pPr>
      <w:hyperlink w:anchor="_Toc187919593" w:history="1">
        <w:r w:rsidRPr="000E6A75">
          <w:rPr>
            <w:rStyle w:val="Hyperlink"/>
            <w:rFonts w:eastAsia="Arial"/>
            <w:noProof/>
          </w:rPr>
          <w:t>Integrated Management System</w:t>
        </w:r>
        <w:r>
          <w:rPr>
            <w:noProof/>
            <w:webHidden/>
          </w:rPr>
          <w:tab/>
        </w:r>
        <w:r>
          <w:rPr>
            <w:noProof/>
            <w:webHidden/>
          </w:rPr>
          <w:fldChar w:fldCharType="begin"/>
        </w:r>
        <w:r>
          <w:rPr>
            <w:noProof/>
            <w:webHidden/>
          </w:rPr>
          <w:instrText xml:space="preserve"> PAGEREF _Toc187919593 \h </w:instrText>
        </w:r>
        <w:r>
          <w:rPr>
            <w:noProof/>
            <w:webHidden/>
          </w:rPr>
        </w:r>
        <w:r>
          <w:rPr>
            <w:noProof/>
            <w:webHidden/>
          </w:rPr>
          <w:fldChar w:fldCharType="separate"/>
        </w:r>
        <w:r>
          <w:rPr>
            <w:noProof/>
            <w:webHidden/>
          </w:rPr>
          <w:t>6</w:t>
        </w:r>
        <w:r>
          <w:rPr>
            <w:noProof/>
            <w:webHidden/>
          </w:rPr>
          <w:fldChar w:fldCharType="end"/>
        </w:r>
      </w:hyperlink>
    </w:p>
    <w:p w14:paraId="35713E6A" w14:textId="171439AD" w:rsidR="0001734D" w:rsidRDefault="0001734D">
      <w:pPr>
        <w:pStyle w:val="TOC2"/>
        <w:rPr>
          <w:rFonts w:eastAsiaTheme="minorEastAsia" w:cstheme="minorBidi"/>
          <w:noProof/>
          <w:color w:val="auto"/>
          <w:kern w:val="2"/>
          <w:szCs w:val="24"/>
          <w:lang w:val="en-US"/>
          <w14:ligatures w14:val="standardContextual"/>
        </w:rPr>
      </w:pPr>
      <w:hyperlink w:anchor="_Toc187919594" w:history="1">
        <w:r w:rsidRPr="000E6A75">
          <w:rPr>
            <w:rStyle w:val="Hyperlink"/>
            <w:rFonts w:eastAsia="Arial"/>
            <w:noProof/>
          </w:rPr>
          <w:t>Safety Risk Management Processes</w:t>
        </w:r>
        <w:r>
          <w:rPr>
            <w:noProof/>
            <w:webHidden/>
          </w:rPr>
          <w:tab/>
        </w:r>
        <w:r>
          <w:rPr>
            <w:noProof/>
            <w:webHidden/>
          </w:rPr>
          <w:fldChar w:fldCharType="begin"/>
        </w:r>
        <w:r>
          <w:rPr>
            <w:noProof/>
            <w:webHidden/>
          </w:rPr>
          <w:instrText xml:space="preserve"> PAGEREF _Toc187919594 \h </w:instrText>
        </w:r>
        <w:r>
          <w:rPr>
            <w:noProof/>
            <w:webHidden/>
          </w:rPr>
        </w:r>
        <w:r>
          <w:rPr>
            <w:noProof/>
            <w:webHidden/>
          </w:rPr>
          <w:fldChar w:fldCharType="separate"/>
        </w:r>
        <w:r>
          <w:rPr>
            <w:noProof/>
            <w:webHidden/>
          </w:rPr>
          <w:t>6</w:t>
        </w:r>
        <w:r>
          <w:rPr>
            <w:noProof/>
            <w:webHidden/>
          </w:rPr>
          <w:fldChar w:fldCharType="end"/>
        </w:r>
      </w:hyperlink>
    </w:p>
    <w:p w14:paraId="54743A07" w14:textId="2AFB6273" w:rsidR="0001734D" w:rsidRDefault="0001734D">
      <w:pPr>
        <w:pStyle w:val="TOC2"/>
        <w:rPr>
          <w:rFonts w:eastAsiaTheme="minorEastAsia" w:cstheme="minorBidi"/>
          <w:noProof/>
          <w:color w:val="auto"/>
          <w:kern w:val="2"/>
          <w:szCs w:val="24"/>
          <w:lang w:val="en-US"/>
          <w14:ligatures w14:val="standardContextual"/>
        </w:rPr>
      </w:pPr>
      <w:hyperlink w:anchor="_Toc187919595" w:history="1">
        <w:r w:rsidRPr="000E6A75">
          <w:rPr>
            <w:rStyle w:val="Hyperlink"/>
            <w:rFonts w:eastAsia="Arial"/>
            <w:noProof/>
          </w:rPr>
          <w:t>Just Culture and Safety Culture Bodies</w:t>
        </w:r>
        <w:r>
          <w:rPr>
            <w:noProof/>
            <w:webHidden/>
          </w:rPr>
          <w:tab/>
        </w:r>
        <w:r>
          <w:rPr>
            <w:noProof/>
            <w:webHidden/>
          </w:rPr>
          <w:fldChar w:fldCharType="begin"/>
        </w:r>
        <w:r>
          <w:rPr>
            <w:noProof/>
            <w:webHidden/>
          </w:rPr>
          <w:instrText xml:space="preserve"> PAGEREF _Toc187919595 \h </w:instrText>
        </w:r>
        <w:r>
          <w:rPr>
            <w:noProof/>
            <w:webHidden/>
          </w:rPr>
        </w:r>
        <w:r>
          <w:rPr>
            <w:noProof/>
            <w:webHidden/>
          </w:rPr>
          <w:fldChar w:fldCharType="separate"/>
        </w:r>
        <w:r>
          <w:rPr>
            <w:noProof/>
            <w:webHidden/>
          </w:rPr>
          <w:t>6</w:t>
        </w:r>
        <w:r>
          <w:rPr>
            <w:noProof/>
            <w:webHidden/>
          </w:rPr>
          <w:fldChar w:fldCharType="end"/>
        </w:r>
      </w:hyperlink>
    </w:p>
    <w:p w14:paraId="09E3105D" w14:textId="75AD29C6" w:rsidR="0001734D" w:rsidRDefault="0001734D">
      <w:pPr>
        <w:pStyle w:val="TOC2"/>
        <w:rPr>
          <w:rFonts w:eastAsiaTheme="minorEastAsia" w:cstheme="minorBidi"/>
          <w:noProof/>
          <w:color w:val="auto"/>
          <w:kern w:val="2"/>
          <w:szCs w:val="24"/>
          <w:lang w:val="en-US"/>
          <w14:ligatures w14:val="standardContextual"/>
        </w:rPr>
      </w:pPr>
      <w:hyperlink w:anchor="_Toc187919596" w:history="1">
        <w:r w:rsidRPr="000E6A75">
          <w:rPr>
            <w:rStyle w:val="Hyperlink"/>
            <w:rFonts w:eastAsia="Arial"/>
            <w:noProof/>
          </w:rPr>
          <w:t>Processing of Reports Through State or Government Channels</w:t>
        </w:r>
        <w:r>
          <w:rPr>
            <w:noProof/>
            <w:webHidden/>
          </w:rPr>
          <w:tab/>
        </w:r>
        <w:r>
          <w:rPr>
            <w:noProof/>
            <w:webHidden/>
          </w:rPr>
          <w:fldChar w:fldCharType="begin"/>
        </w:r>
        <w:r>
          <w:rPr>
            <w:noProof/>
            <w:webHidden/>
          </w:rPr>
          <w:instrText xml:space="preserve"> PAGEREF _Toc187919596 \h </w:instrText>
        </w:r>
        <w:r>
          <w:rPr>
            <w:noProof/>
            <w:webHidden/>
          </w:rPr>
        </w:r>
        <w:r>
          <w:rPr>
            <w:noProof/>
            <w:webHidden/>
          </w:rPr>
          <w:fldChar w:fldCharType="separate"/>
        </w:r>
        <w:r>
          <w:rPr>
            <w:noProof/>
            <w:webHidden/>
          </w:rPr>
          <w:t>6</w:t>
        </w:r>
        <w:r>
          <w:rPr>
            <w:noProof/>
            <w:webHidden/>
          </w:rPr>
          <w:fldChar w:fldCharType="end"/>
        </w:r>
      </w:hyperlink>
    </w:p>
    <w:p w14:paraId="66F76FE3" w14:textId="069C18B2" w:rsidR="0001734D" w:rsidRDefault="0001734D">
      <w:pPr>
        <w:pStyle w:val="TOC2"/>
        <w:rPr>
          <w:rFonts w:eastAsiaTheme="minorEastAsia" w:cstheme="minorBidi"/>
          <w:noProof/>
          <w:color w:val="auto"/>
          <w:kern w:val="2"/>
          <w:szCs w:val="24"/>
          <w:lang w:val="en-US"/>
          <w14:ligatures w14:val="standardContextual"/>
        </w:rPr>
      </w:pPr>
      <w:hyperlink w:anchor="_Toc187919597" w:history="1">
        <w:r w:rsidRPr="000E6A75">
          <w:rPr>
            <w:rStyle w:val="Hyperlink"/>
            <w:rFonts w:eastAsia="Arial"/>
            <w:noProof/>
          </w:rPr>
          <w:t>Accident Investigation Authority</w:t>
        </w:r>
        <w:r>
          <w:rPr>
            <w:noProof/>
            <w:webHidden/>
          </w:rPr>
          <w:tab/>
        </w:r>
        <w:r>
          <w:rPr>
            <w:noProof/>
            <w:webHidden/>
          </w:rPr>
          <w:fldChar w:fldCharType="begin"/>
        </w:r>
        <w:r>
          <w:rPr>
            <w:noProof/>
            <w:webHidden/>
          </w:rPr>
          <w:instrText xml:space="preserve"> PAGEREF _Toc187919597 \h </w:instrText>
        </w:r>
        <w:r>
          <w:rPr>
            <w:noProof/>
            <w:webHidden/>
          </w:rPr>
        </w:r>
        <w:r>
          <w:rPr>
            <w:noProof/>
            <w:webHidden/>
          </w:rPr>
          <w:fldChar w:fldCharType="separate"/>
        </w:r>
        <w:r>
          <w:rPr>
            <w:noProof/>
            <w:webHidden/>
          </w:rPr>
          <w:t>7</w:t>
        </w:r>
        <w:r>
          <w:rPr>
            <w:noProof/>
            <w:webHidden/>
          </w:rPr>
          <w:fldChar w:fldCharType="end"/>
        </w:r>
      </w:hyperlink>
    </w:p>
    <w:p w14:paraId="3D8C48D5" w14:textId="04A04F5B"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598" w:history="1">
        <w:r w:rsidRPr="000E6A75">
          <w:rPr>
            <w:rStyle w:val="Hyperlink"/>
            <w:rFonts w:eastAsia="Arial"/>
            <w:noProof/>
          </w:rPr>
          <w:t>7.</w:t>
        </w:r>
        <w:r>
          <w:rPr>
            <w:rFonts w:eastAsiaTheme="minorEastAsia" w:cstheme="minorBidi"/>
            <w:noProof/>
            <w:color w:val="auto"/>
            <w:kern w:val="2"/>
            <w:szCs w:val="24"/>
            <w:lang w:val="en-US"/>
            <w14:ligatures w14:val="standardContextual"/>
          </w:rPr>
          <w:tab/>
        </w:r>
        <w:r w:rsidRPr="000E6A75">
          <w:rPr>
            <w:rStyle w:val="Hyperlink"/>
            <w:rFonts w:eastAsia="Arial"/>
            <w:noProof/>
          </w:rPr>
          <w:t>VSRS Key Principles, Best Practices/Lessons Learned</w:t>
        </w:r>
        <w:r>
          <w:rPr>
            <w:noProof/>
            <w:webHidden/>
          </w:rPr>
          <w:tab/>
        </w:r>
        <w:r>
          <w:rPr>
            <w:noProof/>
            <w:webHidden/>
          </w:rPr>
          <w:fldChar w:fldCharType="begin"/>
        </w:r>
        <w:r>
          <w:rPr>
            <w:noProof/>
            <w:webHidden/>
          </w:rPr>
          <w:instrText xml:space="preserve"> PAGEREF _Toc187919598 \h </w:instrText>
        </w:r>
        <w:r>
          <w:rPr>
            <w:noProof/>
            <w:webHidden/>
          </w:rPr>
        </w:r>
        <w:r>
          <w:rPr>
            <w:noProof/>
            <w:webHidden/>
          </w:rPr>
          <w:fldChar w:fldCharType="separate"/>
        </w:r>
        <w:r>
          <w:rPr>
            <w:noProof/>
            <w:webHidden/>
          </w:rPr>
          <w:t>7</w:t>
        </w:r>
        <w:r>
          <w:rPr>
            <w:noProof/>
            <w:webHidden/>
          </w:rPr>
          <w:fldChar w:fldCharType="end"/>
        </w:r>
      </w:hyperlink>
    </w:p>
    <w:p w14:paraId="49D2E666" w14:textId="14B2C480" w:rsidR="0001734D" w:rsidRDefault="0001734D">
      <w:pPr>
        <w:pStyle w:val="TOC2"/>
        <w:rPr>
          <w:rFonts w:eastAsiaTheme="minorEastAsia" w:cstheme="minorBidi"/>
          <w:noProof/>
          <w:color w:val="auto"/>
          <w:kern w:val="2"/>
          <w:szCs w:val="24"/>
          <w:lang w:val="en-US"/>
          <w14:ligatures w14:val="standardContextual"/>
        </w:rPr>
      </w:pPr>
      <w:hyperlink w:anchor="_Toc187919599" w:history="1">
        <w:r w:rsidRPr="000E6A75">
          <w:rPr>
            <w:rStyle w:val="Hyperlink"/>
            <w:rFonts w:eastAsia="Arial"/>
            <w:noProof/>
          </w:rPr>
          <w:t>Confidentiality and Trust</w:t>
        </w:r>
        <w:r>
          <w:rPr>
            <w:noProof/>
            <w:webHidden/>
          </w:rPr>
          <w:tab/>
        </w:r>
        <w:r>
          <w:rPr>
            <w:noProof/>
            <w:webHidden/>
          </w:rPr>
          <w:fldChar w:fldCharType="begin"/>
        </w:r>
        <w:r>
          <w:rPr>
            <w:noProof/>
            <w:webHidden/>
          </w:rPr>
          <w:instrText xml:space="preserve"> PAGEREF _Toc187919599 \h </w:instrText>
        </w:r>
        <w:r>
          <w:rPr>
            <w:noProof/>
            <w:webHidden/>
          </w:rPr>
        </w:r>
        <w:r>
          <w:rPr>
            <w:noProof/>
            <w:webHidden/>
          </w:rPr>
          <w:fldChar w:fldCharType="separate"/>
        </w:r>
        <w:r>
          <w:rPr>
            <w:noProof/>
            <w:webHidden/>
          </w:rPr>
          <w:t>7</w:t>
        </w:r>
        <w:r>
          <w:rPr>
            <w:noProof/>
            <w:webHidden/>
          </w:rPr>
          <w:fldChar w:fldCharType="end"/>
        </w:r>
      </w:hyperlink>
    </w:p>
    <w:p w14:paraId="3ADDBAC9" w14:textId="14BBA15A" w:rsidR="0001734D" w:rsidRDefault="0001734D">
      <w:pPr>
        <w:pStyle w:val="TOC2"/>
        <w:rPr>
          <w:rFonts w:eastAsiaTheme="minorEastAsia" w:cstheme="minorBidi"/>
          <w:noProof/>
          <w:color w:val="auto"/>
          <w:kern w:val="2"/>
          <w:szCs w:val="24"/>
          <w:lang w:val="en-US"/>
          <w14:ligatures w14:val="standardContextual"/>
        </w:rPr>
      </w:pPr>
      <w:hyperlink w:anchor="_Toc187919600" w:history="1">
        <w:r w:rsidRPr="000E6A75">
          <w:rPr>
            <w:rStyle w:val="Hyperlink"/>
            <w:rFonts w:eastAsia="Arial"/>
            <w:noProof/>
          </w:rPr>
          <w:t>Non-Punitive Reporting</w:t>
        </w:r>
        <w:r>
          <w:rPr>
            <w:noProof/>
            <w:webHidden/>
          </w:rPr>
          <w:tab/>
        </w:r>
        <w:r>
          <w:rPr>
            <w:noProof/>
            <w:webHidden/>
          </w:rPr>
          <w:fldChar w:fldCharType="begin"/>
        </w:r>
        <w:r>
          <w:rPr>
            <w:noProof/>
            <w:webHidden/>
          </w:rPr>
          <w:instrText xml:space="preserve"> PAGEREF _Toc187919600 \h </w:instrText>
        </w:r>
        <w:r>
          <w:rPr>
            <w:noProof/>
            <w:webHidden/>
          </w:rPr>
        </w:r>
        <w:r>
          <w:rPr>
            <w:noProof/>
            <w:webHidden/>
          </w:rPr>
          <w:fldChar w:fldCharType="separate"/>
        </w:r>
        <w:r>
          <w:rPr>
            <w:noProof/>
            <w:webHidden/>
          </w:rPr>
          <w:t>7</w:t>
        </w:r>
        <w:r>
          <w:rPr>
            <w:noProof/>
            <w:webHidden/>
          </w:rPr>
          <w:fldChar w:fldCharType="end"/>
        </w:r>
      </w:hyperlink>
    </w:p>
    <w:p w14:paraId="675381CA" w14:textId="4CE6F162" w:rsidR="0001734D" w:rsidRDefault="0001734D">
      <w:pPr>
        <w:pStyle w:val="TOC2"/>
        <w:rPr>
          <w:rFonts w:eastAsiaTheme="minorEastAsia" w:cstheme="minorBidi"/>
          <w:noProof/>
          <w:color w:val="auto"/>
          <w:kern w:val="2"/>
          <w:szCs w:val="24"/>
          <w:lang w:val="en-US"/>
          <w14:ligatures w14:val="standardContextual"/>
        </w:rPr>
      </w:pPr>
      <w:hyperlink w:anchor="_Toc187919601" w:history="1">
        <w:r w:rsidRPr="000E6A75">
          <w:rPr>
            <w:rStyle w:val="Hyperlink"/>
            <w:rFonts w:eastAsia="Arial"/>
            <w:noProof/>
          </w:rPr>
          <w:t>Accessible Reporting</w:t>
        </w:r>
        <w:r>
          <w:rPr>
            <w:noProof/>
            <w:webHidden/>
          </w:rPr>
          <w:tab/>
        </w:r>
        <w:r>
          <w:rPr>
            <w:noProof/>
            <w:webHidden/>
          </w:rPr>
          <w:fldChar w:fldCharType="begin"/>
        </w:r>
        <w:r>
          <w:rPr>
            <w:noProof/>
            <w:webHidden/>
          </w:rPr>
          <w:instrText xml:space="preserve"> PAGEREF _Toc187919601 \h </w:instrText>
        </w:r>
        <w:r>
          <w:rPr>
            <w:noProof/>
            <w:webHidden/>
          </w:rPr>
        </w:r>
        <w:r>
          <w:rPr>
            <w:noProof/>
            <w:webHidden/>
          </w:rPr>
          <w:fldChar w:fldCharType="separate"/>
        </w:r>
        <w:r>
          <w:rPr>
            <w:noProof/>
            <w:webHidden/>
          </w:rPr>
          <w:t>8</w:t>
        </w:r>
        <w:r>
          <w:rPr>
            <w:noProof/>
            <w:webHidden/>
          </w:rPr>
          <w:fldChar w:fldCharType="end"/>
        </w:r>
      </w:hyperlink>
    </w:p>
    <w:p w14:paraId="09A71B3F" w14:textId="6A276FD5" w:rsidR="0001734D" w:rsidRDefault="0001734D">
      <w:pPr>
        <w:pStyle w:val="TOC2"/>
        <w:rPr>
          <w:rFonts w:eastAsiaTheme="minorEastAsia" w:cstheme="minorBidi"/>
          <w:noProof/>
          <w:color w:val="auto"/>
          <w:kern w:val="2"/>
          <w:szCs w:val="24"/>
          <w:lang w:val="en-US"/>
          <w14:ligatures w14:val="standardContextual"/>
        </w:rPr>
      </w:pPr>
      <w:hyperlink w:anchor="_Toc187919602" w:history="1">
        <w:r w:rsidRPr="000E6A75">
          <w:rPr>
            <w:rStyle w:val="Hyperlink"/>
            <w:rFonts w:eastAsia="Arial"/>
            <w:noProof/>
          </w:rPr>
          <w:t>Ease of Reporting</w:t>
        </w:r>
        <w:r>
          <w:rPr>
            <w:noProof/>
            <w:webHidden/>
          </w:rPr>
          <w:tab/>
        </w:r>
        <w:r>
          <w:rPr>
            <w:noProof/>
            <w:webHidden/>
          </w:rPr>
          <w:fldChar w:fldCharType="begin"/>
        </w:r>
        <w:r>
          <w:rPr>
            <w:noProof/>
            <w:webHidden/>
          </w:rPr>
          <w:instrText xml:space="preserve"> PAGEREF _Toc187919602 \h </w:instrText>
        </w:r>
        <w:r>
          <w:rPr>
            <w:noProof/>
            <w:webHidden/>
          </w:rPr>
        </w:r>
        <w:r>
          <w:rPr>
            <w:noProof/>
            <w:webHidden/>
          </w:rPr>
          <w:fldChar w:fldCharType="separate"/>
        </w:r>
        <w:r>
          <w:rPr>
            <w:noProof/>
            <w:webHidden/>
          </w:rPr>
          <w:t>8</w:t>
        </w:r>
        <w:r>
          <w:rPr>
            <w:noProof/>
            <w:webHidden/>
          </w:rPr>
          <w:fldChar w:fldCharType="end"/>
        </w:r>
      </w:hyperlink>
    </w:p>
    <w:p w14:paraId="6ACCF2D6" w14:textId="53E1FFFD" w:rsidR="0001734D" w:rsidRDefault="0001734D">
      <w:pPr>
        <w:pStyle w:val="TOC2"/>
        <w:rPr>
          <w:rFonts w:eastAsiaTheme="minorEastAsia" w:cstheme="minorBidi"/>
          <w:noProof/>
          <w:color w:val="auto"/>
          <w:kern w:val="2"/>
          <w:szCs w:val="24"/>
          <w:lang w:val="en-US"/>
          <w14:ligatures w14:val="standardContextual"/>
        </w:rPr>
      </w:pPr>
      <w:hyperlink w:anchor="_Toc187919603" w:history="1">
        <w:r w:rsidRPr="000E6A75">
          <w:rPr>
            <w:rStyle w:val="Hyperlink"/>
            <w:rFonts w:eastAsia="Arial"/>
            <w:noProof/>
          </w:rPr>
          <w:t>Independent Processing</w:t>
        </w:r>
        <w:r>
          <w:rPr>
            <w:noProof/>
            <w:webHidden/>
          </w:rPr>
          <w:tab/>
        </w:r>
        <w:r>
          <w:rPr>
            <w:noProof/>
            <w:webHidden/>
          </w:rPr>
          <w:fldChar w:fldCharType="begin"/>
        </w:r>
        <w:r>
          <w:rPr>
            <w:noProof/>
            <w:webHidden/>
          </w:rPr>
          <w:instrText xml:space="preserve"> PAGEREF _Toc187919603 \h </w:instrText>
        </w:r>
        <w:r>
          <w:rPr>
            <w:noProof/>
            <w:webHidden/>
          </w:rPr>
        </w:r>
        <w:r>
          <w:rPr>
            <w:noProof/>
            <w:webHidden/>
          </w:rPr>
          <w:fldChar w:fldCharType="separate"/>
        </w:r>
        <w:r>
          <w:rPr>
            <w:noProof/>
            <w:webHidden/>
          </w:rPr>
          <w:t>8</w:t>
        </w:r>
        <w:r>
          <w:rPr>
            <w:noProof/>
            <w:webHidden/>
          </w:rPr>
          <w:fldChar w:fldCharType="end"/>
        </w:r>
      </w:hyperlink>
    </w:p>
    <w:p w14:paraId="538CE95D" w14:textId="3BBBD217" w:rsidR="0001734D" w:rsidRDefault="0001734D">
      <w:pPr>
        <w:pStyle w:val="TOC2"/>
        <w:rPr>
          <w:rFonts w:eastAsiaTheme="minorEastAsia" w:cstheme="minorBidi"/>
          <w:noProof/>
          <w:color w:val="auto"/>
          <w:kern w:val="2"/>
          <w:szCs w:val="24"/>
          <w:lang w:val="en-US"/>
          <w14:ligatures w14:val="standardContextual"/>
        </w:rPr>
      </w:pPr>
      <w:hyperlink w:anchor="_Toc187919604" w:history="1">
        <w:r w:rsidRPr="000E6A75">
          <w:rPr>
            <w:rStyle w:val="Hyperlink"/>
            <w:rFonts w:eastAsia="Arial"/>
            <w:noProof/>
          </w:rPr>
          <w:t>Data Quality</w:t>
        </w:r>
        <w:r>
          <w:rPr>
            <w:noProof/>
            <w:webHidden/>
          </w:rPr>
          <w:tab/>
        </w:r>
        <w:r>
          <w:rPr>
            <w:noProof/>
            <w:webHidden/>
          </w:rPr>
          <w:fldChar w:fldCharType="begin"/>
        </w:r>
        <w:r>
          <w:rPr>
            <w:noProof/>
            <w:webHidden/>
          </w:rPr>
          <w:instrText xml:space="preserve"> PAGEREF _Toc187919604 \h </w:instrText>
        </w:r>
        <w:r>
          <w:rPr>
            <w:noProof/>
            <w:webHidden/>
          </w:rPr>
        </w:r>
        <w:r>
          <w:rPr>
            <w:noProof/>
            <w:webHidden/>
          </w:rPr>
          <w:fldChar w:fldCharType="separate"/>
        </w:r>
        <w:r>
          <w:rPr>
            <w:noProof/>
            <w:webHidden/>
          </w:rPr>
          <w:t>9</w:t>
        </w:r>
        <w:r>
          <w:rPr>
            <w:noProof/>
            <w:webHidden/>
          </w:rPr>
          <w:fldChar w:fldCharType="end"/>
        </w:r>
      </w:hyperlink>
    </w:p>
    <w:p w14:paraId="5FE164BB" w14:textId="1B9AB350" w:rsidR="0001734D" w:rsidRDefault="0001734D">
      <w:pPr>
        <w:pStyle w:val="TOC2"/>
        <w:rPr>
          <w:rFonts w:eastAsiaTheme="minorEastAsia" w:cstheme="minorBidi"/>
          <w:noProof/>
          <w:color w:val="auto"/>
          <w:kern w:val="2"/>
          <w:szCs w:val="24"/>
          <w:lang w:val="en-US"/>
          <w14:ligatures w14:val="standardContextual"/>
        </w:rPr>
      </w:pPr>
      <w:hyperlink w:anchor="_Toc187919605" w:history="1">
        <w:r w:rsidRPr="000E6A75">
          <w:rPr>
            <w:rStyle w:val="Hyperlink"/>
            <w:rFonts w:eastAsia="Arial"/>
            <w:noProof/>
          </w:rPr>
          <w:t>Feedback and Acknowledgment</w:t>
        </w:r>
        <w:r>
          <w:rPr>
            <w:noProof/>
            <w:webHidden/>
          </w:rPr>
          <w:tab/>
        </w:r>
        <w:r>
          <w:rPr>
            <w:noProof/>
            <w:webHidden/>
          </w:rPr>
          <w:fldChar w:fldCharType="begin"/>
        </w:r>
        <w:r>
          <w:rPr>
            <w:noProof/>
            <w:webHidden/>
          </w:rPr>
          <w:instrText xml:space="preserve"> PAGEREF _Toc187919605 \h </w:instrText>
        </w:r>
        <w:r>
          <w:rPr>
            <w:noProof/>
            <w:webHidden/>
          </w:rPr>
        </w:r>
        <w:r>
          <w:rPr>
            <w:noProof/>
            <w:webHidden/>
          </w:rPr>
          <w:fldChar w:fldCharType="separate"/>
        </w:r>
        <w:r>
          <w:rPr>
            <w:noProof/>
            <w:webHidden/>
          </w:rPr>
          <w:t>9</w:t>
        </w:r>
        <w:r>
          <w:rPr>
            <w:noProof/>
            <w:webHidden/>
          </w:rPr>
          <w:fldChar w:fldCharType="end"/>
        </w:r>
      </w:hyperlink>
    </w:p>
    <w:p w14:paraId="64E252DE" w14:textId="74AB5120" w:rsidR="0001734D" w:rsidRDefault="0001734D">
      <w:pPr>
        <w:pStyle w:val="TOC2"/>
        <w:rPr>
          <w:rFonts w:eastAsiaTheme="minorEastAsia" w:cstheme="minorBidi"/>
          <w:noProof/>
          <w:color w:val="auto"/>
          <w:kern w:val="2"/>
          <w:szCs w:val="24"/>
          <w:lang w:val="en-US"/>
          <w14:ligatures w14:val="standardContextual"/>
        </w:rPr>
      </w:pPr>
      <w:hyperlink w:anchor="_Toc187919606" w:history="1">
        <w:r w:rsidRPr="000E6A75">
          <w:rPr>
            <w:rStyle w:val="Hyperlink"/>
            <w:rFonts w:eastAsia="Arial"/>
            <w:noProof/>
          </w:rPr>
          <w:t>Promotion and Engagement</w:t>
        </w:r>
        <w:r>
          <w:rPr>
            <w:noProof/>
            <w:webHidden/>
          </w:rPr>
          <w:tab/>
        </w:r>
        <w:r>
          <w:rPr>
            <w:noProof/>
            <w:webHidden/>
          </w:rPr>
          <w:fldChar w:fldCharType="begin"/>
        </w:r>
        <w:r>
          <w:rPr>
            <w:noProof/>
            <w:webHidden/>
          </w:rPr>
          <w:instrText xml:space="preserve"> PAGEREF _Toc187919606 \h </w:instrText>
        </w:r>
        <w:r>
          <w:rPr>
            <w:noProof/>
            <w:webHidden/>
          </w:rPr>
        </w:r>
        <w:r>
          <w:rPr>
            <w:noProof/>
            <w:webHidden/>
          </w:rPr>
          <w:fldChar w:fldCharType="separate"/>
        </w:r>
        <w:r>
          <w:rPr>
            <w:noProof/>
            <w:webHidden/>
          </w:rPr>
          <w:t>9</w:t>
        </w:r>
        <w:r>
          <w:rPr>
            <w:noProof/>
            <w:webHidden/>
          </w:rPr>
          <w:fldChar w:fldCharType="end"/>
        </w:r>
      </w:hyperlink>
    </w:p>
    <w:p w14:paraId="5991EEEE" w14:textId="4770FCAD" w:rsidR="0001734D" w:rsidRDefault="0001734D">
      <w:pPr>
        <w:pStyle w:val="TOC2"/>
        <w:rPr>
          <w:rFonts w:eastAsiaTheme="minorEastAsia" w:cstheme="minorBidi"/>
          <w:noProof/>
          <w:color w:val="auto"/>
          <w:kern w:val="2"/>
          <w:szCs w:val="24"/>
          <w:lang w:val="en-US"/>
          <w14:ligatures w14:val="standardContextual"/>
        </w:rPr>
      </w:pPr>
      <w:hyperlink w:anchor="_Toc187919607" w:history="1">
        <w:r w:rsidRPr="000E6A75">
          <w:rPr>
            <w:rStyle w:val="Hyperlink"/>
            <w:rFonts w:eastAsia="Arial"/>
            <w:noProof/>
          </w:rPr>
          <w:t>Collective Safety Data Processing and Analysis</w:t>
        </w:r>
        <w:r>
          <w:rPr>
            <w:noProof/>
            <w:webHidden/>
          </w:rPr>
          <w:tab/>
        </w:r>
        <w:r>
          <w:rPr>
            <w:noProof/>
            <w:webHidden/>
          </w:rPr>
          <w:fldChar w:fldCharType="begin"/>
        </w:r>
        <w:r>
          <w:rPr>
            <w:noProof/>
            <w:webHidden/>
          </w:rPr>
          <w:instrText xml:space="preserve"> PAGEREF _Toc187919607 \h </w:instrText>
        </w:r>
        <w:r>
          <w:rPr>
            <w:noProof/>
            <w:webHidden/>
          </w:rPr>
        </w:r>
        <w:r>
          <w:rPr>
            <w:noProof/>
            <w:webHidden/>
          </w:rPr>
          <w:fldChar w:fldCharType="separate"/>
        </w:r>
        <w:r>
          <w:rPr>
            <w:noProof/>
            <w:webHidden/>
          </w:rPr>
          <w:t>10</w:t>
        </w:r>
        <w:r>
          <w:rPr>
            <w:noProof/>
            <w:webHidden/>
          </w:rPr>
          <w:fldChar w:fldCharType="end"/>
        </w:r>
      </w:hyperlink>
    </w:p>
    <w:p w14:paraId="4E8809F6" w14:textId="3FBAEEE3" w:rsidR="0001734D" w:rsidRDefault="0001734D">
      <w:pPr>
        <w:pStyle w:val="TOC2"/>
        <w:rPr>
          <w:rFonts w:eastAsiaTheme="minorEastAsia" w:cstheme="minorBidi"/>
          <w:noProof/>
          <w:color w:val="auto"/>
          <w:kern w:val="2"/>
          <w:szCs w:val="24"/>
          <w:lang w:val="en-US"/>
          <w14:ligatures w14:val="standardContextual"/>
        </w:rPr>
      </w:pPr>
      <w:hyperlink w:anchor="_Toc187919608" w:history="1">
        <w:r w:rsidRPr="000E6A75">
          <w:rPr>
            <w:rStyle w:val="Hyperlink"/>
            <w:rFonts w:eastAsia="Arial"/>
            <w:noProof/>
          </w:rPr>
          <w:t>VSRS Oversight and Continuous Improvement</w:t>
        </w:r>
        <w:r>
          <w:rPr>
            <w:noProof/>
            <w:webHidden/>
          </w:rPr>
          <w:tab/>
        </w:r>
        <w:r>
          <w:rPr>
            <w:noProof/>
            <w:webHidden/>
          </w:rPr>
          <w:fldChar w:fldCharType="begin"/>
        </w:r>
        <w:r>
          <w:rPr>
            <w:noProof/>
            <w:webHidden/>
          </w:rPr>
          <w:instrText xml:space="preserve"> PAGEREF _Toc187919608 \h </w:instrText>
        </w:r>
        <w:r>
          <w:rPr>
            <w:noProof/>
            <w:webHidden/>
          </w:rPr>
        </w:r>
        <w:r>
          <w:rPr>
            <w:noProof/>
            <w:webHidden/>
          </w:rPr>
          <w:fldChar w:fldCharType="separate"/>
        </w:r>
        <w:r>
          <w:rPr>
            <w:noProof/>
            <w:webHidden/>
          </w:rPr>
          <w:t>10</w:t>
        </w:r>
        <w:r>
          <w:rPr>
            <w:noProof/>
            <w:webHidden/>
          </w:rPr>
          <w:fldChar w:fldCharType="end"/>
        </w:r>
      </w:hyperlink>
    </w:p>
    <w:p w14:paraId="53F2F29D" w14:textId="02989C39"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609" w:history="1">
        <w:r w:rsidRPr="000E6A75">
          <w:rPr>
            <w:rStyle w:val="Hyperlink"/>
            <w:rFonts w:eastAsia="Arial"/>
            <w:noProof/>
          </w:rPr>
          <w:t>8.</w:t>
        </w:r>
        <w:r>
          <w:rPr>
            <w:rFonts w:eastAsiaTheme="minorEastAsia" w:cstheme="minorBidi"/>
            <w:noProof/>
            <w:color w:val="auto"/>
            <w:kern w:val="2"/>
            <w:szCs w:val="24"/>
            <w:lang w:val="en-US"/>
            <w14:ligatures w14:val="standardContextual"/>
          </w:rPr>
          <w:tab/>
        </w:r>
        <w:r w:rsidRPr="000E6A75">
          <w:rPr>
            <w:rStyle w:val="Hyperlink"/>
            <w:rFonts w:eastAsia="Arial"/>
            <w:noProof/>
          </w:rPr>
          <w:t>Communication and Promotion</w:t>
        </w:r>
        <w:r>
          <w:rPr>
            <w:noProof/>
            <w:webHidden/>
          </w:rPr>
          <w:tab/>
        </w:r>
        <w:r>
          <w:rPr>
            <w:noProof/>
            <w:webHidden/>
          </w:rPr>
          <w:fldChar w:fldCharType="begin"/>
        </w:r>
        <w:r>
          <w:rPr>
            <w:noProof/>
            <w:webHidden/>
          </w:rPr>
          <w:instrText xml:space="preserve"> PAGEREF _Toc187919609 \h </w:instrText>
        </w:r>
        <w:r>
          <w:rPr>
            <w:noProof/>
            <w:webHidden/>
          </w:rPr>
        </w:r>
        <w:r>
          <w:rPr>
            <w:noProof/>
            <w:webHidden/>
          </w:rPr>
          <w:fldChar w:fldCharType="separate"/>
        </w:r>
        <w:r>
          <w:rPr>
            <w:noProof/>
            <w:webHidden/>
          </w:rPr>
          <w:t>10</w:t>
        </w:r>
        <w:r>
          <w:rPr>
            <w:noProof/>
            <w:webHidden/>
          </w:rPr>
          <w:fldChar w:fldCharType="end"/>
        </w:r>
      </w:hyperlink>
    </w:p>
    <w:p w14:paraId="2A525F7B" w14:textId="32926F69" w:rsidR="0001734D" w:rsidRDefault="0001734D">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187919610" w:history="1">
        <w:r w:rsidRPr="000E6A75">
          <w:rPr>
            <w:rStyle w:val="Hyperlink"/>
            <w:rFonts w:eastAsia="Arial"/>
            <w:noProof/>
          </w:rPr>
          <w:t>9.</w:t>
        </w:r>
        <w:r>
          <w:rPr>
            <w:rFonts w:eastAsiaTheme="minorEastAsia" w:cstheme="minorBidi"/>
            <w:noProof/>
            <w:color w:val="auto"/>
            <w:kern w:val="2"/>
            <w:szCs w:val="24"/>
            <w:lang w:val="en-US"/>
            <w14:ligatures w14:val="standardContextual"/>
          </w:rPr>
          <w:tab/>
        </w:r>
        <w:r w:rsidRPr="000E6A75">
          <w:rPr>
            <w:rStyle w:val="Hyperlink"/>
            <w:rFonts w:eastAsia="Arial"/>
            <w:noProof/>
          </w:rPr>
          <w:t>References and Resources</w:t>
        </w:r>
        <w:r>
          <w:rPr>
            <w:noProof/>
            <w:webHidden/>
          </w:rPr>
          <w:tab/>
        </w:r>
        <w:r>
          <w:rPr>
            <w:noProof/>
            <w:webHidden/>
          </w:rPr>
          <w:fldChar w:fldCharType="begin"/>
        </w:r>
        <w:r>
          <w:rPr>
            <w:noProof/>
            <w:webHidden/>
          </w:rPr>
          <w:instrText xml:space="preserve"> PAGEREF _Toc187919610 \h </w:instrText>
        </w:r>
        <w:r>
          <w:rPr>
            <w:noProof/>
            <w:webHidden/>
          </w:rPr>
        </w:r>
        <w:r>
          <w:rPr>
            <w:noProof/>
            <w:webHidden/>
          </w:rPr>
          <w:fldChar w:fldCharType="separate"/>
        </w:r>
        <w:r>
          <w:rPr>
            <w:noProof/>
            <w:webHidden/>
          </w:rPr>
          <w:t>11</w:t>
        </w:r>
        <w:r>
          <w:rPr>
            <w:noProof/>
            <w:webHidden/>
          </w:rPr>
          <w:fldChar w:fldCharType="end"/>
        </w:r>
      </w:hyperlink>
    </w:p>
    <w:p w14:paraId="3525C17C" w14:textId="16FCF95B" w:rsidR="0001734D" w:rsidRDefault="0001734D">
      <w:pPr>
        <w:pStyle w:val="TOC1"/>
        <w:tabs>
          <w:tab w:val="right" w:leader="dot" w:pos="9570"/>
        </w:tabs>
        <w:rPr>
          <w:rFonts w:eastAsiaTheme="minorEastAsia" w:cstheme="minorBidi"/>
          <w:noProof/>
          <w:color w:val="auto"/>
          <w:kern w:val="2"/>
          <w:szCs w:val="24"/>
          <w:lang w:val="en-US"/>
          <w14:ligatures w14:val="standardContextual"/>
        </w:rPr>
      </w:pPr>
      <w:hyperlink w:anchor="_Toc187919611" w:history="1">
        <w:r w:rsidRPr="000E6A75">
          <w:rPr>
            <w:rStyle w:val="Hyperlink"/>
            <w:rFonts w:eastAsia="Arial"/>
            <w:noProof/>
          </w:rPr>
          <w:t>Appendix A: VSRS Poster</w:t>
        </w:r>
        <w:r>
          <w:rPr>
            <w:noProof/>
            <w:webHidden/>
          </w:rPr>
          <w:tab/>
          <w:t>A-</w:t>
        </w:r>
        <w:r>
          <w:rPr>
            <w:noProof/>
            <w:webHidden/>
          </w:rPr>
          <w:fldChar w:fldCharType="begin"/>
        </w:r>
        <w:r>
          <w:rPr>
            <w:noProof/>
            <w:webHidden/>
          </w:rPr>
          <w:instrText xml:space="preserve"> PAGEREF _Toc187919611 \h </w:instrText>
        </w:r>
        <w:r>
          <w:rPr>
            <w:noProof/>
            <w:webHidden/>
          </w:rPr>
        </w:r>
        <w:r>
          <w:rPr>
            <w:noProof/>
            <w:webHidden/>
          </w:rPr>
          <w:fldChar w:fldCharType="separate"/>
        </w:r>
        <w:r>
          <w:rPr>
            <w:noProof/>
            <w:webHidden/>
          </w:rPr>
          <w:t>1</w:t>
        </w:r>
        <w:r>
          <w:rPr>
            <w:noProof/>
            <w:webHidden/>
          </w:rPr>
          <w:fldChar w:fldCharType="end"/>
        </w:r>
      </w:hyperlink>
    </w:p>
    <w:p w14:paraId="23BB3394" w14:textId="047C76AF" w:rsidR="00003528" w:rsidRPr="00424631" w:rsidRDefault="006643B6" w:rsidP="00B55B33">
      <w:r w:rsidRPr="00424631">
        <w:fldChar w:fldCharType="end"/>
      </w:r>
    </w:p>
    <w:p w14:paraId="7315E1E3" w14:textId="6FEFB645" w:rsidR="009725F7" w:rsidRPr="00424631" w:rsidRDefault="009725F7" w:rsidP="00B55B33">
      <w:pPr>
        <w:sectPr w:rsidR="009725F7" w:rsidRPr="00424631" w:rsidSect="00BC597D">
          <w:headerReference w:type="even" r:id="rId18"/>
          <w:headerReference w:type="default" r:id="rId19"/>
          <w:footerReference w:type="default" r:id="rId20"/>
          <w:headerReference w:type="first" r:id="rId21"/>
          <w:pgSz w:w="12240" w:h="15840"/>
          <w:pgMar w:top="1400" w:right="1340" w:bottom="1060" w:left="1320" w:header="503" w:footer="877" w:gutter="0"/>
          <w:cols w:space="720"/>
        </w:sectPr>
      </w:pPr>
    </w:p>
    <w:p w14:paraId="2987C830" w14:textId="1031D83C" w:rsidR="00003528" w:rsidRPr="00226C5D" w:rsidRDefault="00711F86" w:rsidP="00226C5D">
      <w:pPr>
        <w:pStyle w:val="Heading1"/>
      </w:pPr>
      <w:bookmarkStart w:id="12" w:name="1._Introduction"/>
      <w:bookmarkStart w:id="13" w:name="_Toc168066119"/>
      <w:bookmarkStart w:id="14" w:name="_Toc187919587"/>
      <w:bookmarkEnd w:id="12"/>
      <w:r w:rsidRPr="00226C5D">
        <w:lastRenderedPageBreak/>
        <w:t>Introduction</w:t>
      </w:r>
      <w:bookmarkEnd w:id="13"/>
      <w:bookmarkEnd w:id="14"/>
    </w:p>
    <w:p w14:paraId="49A978ED" w14:textId="73BE710A" w:rsidR="00226C5D" w:rsidRDefault="008931A5" w:rsidP="00226C5D">
      <w:r w:rsidRPr="008931A5">
        <w:t xml:space="preserve">International Civil Aviation Organisation </w:t>
      </w:r>
      <w:r>
        <w:t>(</w:t>
      </w:r>
      <w:r w:rsidR="00226C5D">
        <w:t>ICAO</w:t>
      </w:r>
      <w:r>
        <w:t>)</w:t>
      </w:r>
      <w:r w:rsidR="00226C5D">
        <w:t xml:space="preserve"> Annex 19 states, “</w:t>
      </w:r>
      <w:r w:rsidR="00226C5D" w:rsidRPr="00226C5D">
        <w:rPr>
          <w:i/>
          <w:iCs/>
        </w:rPr>
        <w:t>5.1.3 States shall establish a voluntary safety reporting system (VSRS) to collect safety data and safety information not captured by mandatory safety reporting systems.</w:t>
      </w:r>
      <w:r w:rsidR="00226C5D">
        <w:t>”</w:t>
      </w:r>
    </w:p>
    <w:p w14:paraId="24BC2F6C" w14:textId="0724F083" w:rsidR="00226C5D" w:rsidRDefault="00226C5D" w:rsidP="00226C5D">
      <w:r>
        <w:t>This document is applicable to all State authorities responsible for implementing a VSRS.</w:t>
      </w:r>
    </w:p>
    <w:p w14:paraId="19241092" w14:textId="05CD067C" w:rsidR="00226C5D" w:rsidRDefault="0007344B" w:rsidP="00226C5D">
      <w:r w:rsidRPr="0007344B">
        <w:t xml:space="preserve">A </w:t>
      </w:r>
      <w:r w:rsidR="00226C5D" w:rsidRPr="00226C5D">
        <w:rPr>
          <w:b/>
          <w:bCs/>
        </w:rPr>
        <w:t>Voluntary Safety Reporting System (VSRS)</w:t>
      </w:r>
      <w:r w:rsidR="00226C5D">
        <w:t xml:space="preserve"> is a reporting system established to collect safety data and safety information not covered by the mandatory safety reporting system. These reports go beyond typical incident reporting and tend to highlight latent conditions, such as inappropriate safety procedures or regulations, human errors, etc. (</w:t>
      </w:r>
      <w:r w:rsidR="008931A5">
        <w:t>ICAO Doc</w:t>
      </w:r>
      <w:r w:rsidR="00226C5D">
        <w:t xml:space="preserve"> 9859</w:t>
      </w:r>
      <w:r>
        <w:t xml:space="preserve">, </w:t>
      </w:r>
      <w:r w:rsidR="008931A5">
        <w:t xml:space="preserve">Safety Management Manual, </w:t>
      </w:r>
      <w:r>
        <w:t>Fourth Edition, Section</w:t>
      </w:r>
      <w:r w:rsidR="00226C5D">
        <w:t xml:space="preserve"> 5.2.6.1)</w:t>
      </w:r>
    </w:p>
    <w:p w14:paraId="389922EA" w14:textId="09F53993" w:rsidR="003D77B4" w:rsidRPr="00424631" w:rsidRDefault="00226C5D" w:rsidP="00226C5D">
      <w:r>
        <w:t>A VSRS provides the State with information o</w:t>
      </w:r>
      <w:r w:rsidR="008931A5">
        <w:t>n</w:t>
      </w:r>
      <w:r>
        <w:t xml:space="preserve"> reporting culture, reporting rates, </w:t>
      </w:r>
      <w:r w:rsidR="008931A5">
        <w:t xml:space="preserve">and </w:t>
      </w:r>
      <w:r>
        <w:t>quality of reports and should</w:t>
      </w:r>
      <w:r w:rsidRPr="00F63741">
        <w:rPr>
          <w:color w:val="auto"/>
        </w:rPr>
        <w:t xml:space="preserve"> complement other safety information-sharing programs by identifying hazards </w:t>
      </w:r>
      <w:r w:rsidR="006A01EC" w:rsidRPr="00F63741">
        <w:rPr>
          <w:color w:val="auto"/>
        </w:rPr>
        <w:t>that may lead to</w:t>
      </w:r>
      <w:r w:rsidRPr="00F63741">
        <w:rPr>
          <w:color w:val="auto"/>
        </w:rPr>
        <w:t xml:space="preserve"> an accident. T</w:t>
      </w:r>
      <w:r>
        <w:t>he overall objective of the system is to affect positive safety outcomes.</w:t>
      </w:r>
    </w:p>
    <w:p w14:paraId="6D58C6A2" w14:textId="26A5C29F" w:rsidR="000320D6" w:rsidRPr="00424631" w:rsidRDefault="00226C5D" w:rsidP="002F71C5">
      <w:pPr>
        <w:pStyle w:val="Heading1"/>
      </w:pPr>
      <w:bookmarkStart w:id="15" w:name="2._SMS_Training_Program_Outline"/>
      <w:bookmarkStart w:id="16" w:name="_Toc187919588"/>
      <w:bookmarkEnd w:id="15"/>
      <w:r>
        <w:t>Background</w:t>
      </w:r>
      <w:bookmarkEnd w:id="16"/>
    </w:p>
    <w:p w14:paraId="539F26B9" w14:textId="73E2948E" w:rsidR="00226C5D" w:rsidRDefault="00226C5D" w:rsidP="00226C5D">
      <w:pPr>
        <w:pBdr>
          <w:top w:val="nil"/>
          <w:left w:val="nil"/>
          <w:bottom w:val="nil"/>
          <w:right w:val="nil"/>
          <w:between w:val="nil"/>
        </w:pBdr>
        <w:spacing w:line="259" w:lineRule="auto"/>
        <w:ind w:hanging="2"/>
      </w:pPr>
      <w:bookmarkStart w:id="17" w:name="_Toc168066121"/>
      <w:r>
        <w:t>A VSRS is integral to a well-functioning State Safety Program</w:t>
      </w:r>
      <w:r w:rsidR="008931A5">
        <w:t xml:space="preserve"> (SSP)</w:t>
      </w:r>
      <w:r>
        <w:t>, providing an opportunity for both individuals and organisations to report hazards, safety-related issues, concerns, and incidents that may otherwise remain unreported. These reports go beyond mandatory reporting and tend to illuminate latent conditions and new safety issues not</w:t>
      </w:r>
      <w:r w:rsidRPr="00F63741">
        <w:rPr>
          <w:color w:val="auto"/>
        </w:rPr>
        <w:t xml:space="preserve"> </w:t>
      </w:r>
      <w:r w:rsidR="00A35727" w:rsidRPr="00F63741">
        <w:rPr>
          <w:color w:val="auto"/>
        </w:rPr>
        <w:t>already</w:t>
      </w:r>
      <w:r w:rsidRPr="00F63741">
        <w:rPr>
          <w:color w:val="auto"/>
        </w:rPr>
        <w:t xml:space="preserve"> </w:t>
      </w:r>
      <w:r>
        <w:t>specified in mandatory reporting requirements.</w:t>
      </w:r>
    </w:p>
    <w:p w14:paraId="016CC658" w14:textId="5F783CE7" w:rsidR="00226C5D" w:rsidRDefault="00226C5D" w:rsidP="00226C5D">
      <w:pPr>
        <w:pBdr>
          <w:top w:val="nil"/>
          <w:left w:val="nil"/>
          <w:bottom w:val="nil"/>
          <w:right w:val="nil"/>
          <w:between w:val="nil"/>
        </w:pBdr>
        <w:spacing w:line="259" w:lineRule="auto"/>
        <w:ind w:hanging="2"/>
      </w:pPr>
      <w:r>
        <w:t>Voluntary reports are often the only source of information on a particular hazard or event.</w:t>
      </w:r>
    </w:p>
    <w:p w14:paraId="70A7A147" w14:textId="7E3B611E" w:rsidR="00226C5D" w:rsidRDefault="00226C5D" w:rsidP="00226C5D">
      <w:pPr>
        <w:pBdr>
          <w:top w:val="nil"/>
          <w:left w:val="nil"/>
          <w:bottom w:val="nil"/>
          <w:right w:val="nil"/>
          <w:between w:val="nil"/>
        </w:pBdr>
        <w:spacing w:line="259" w:lineRule="auto"/>
        <w:ind w:hanging="2"/>
      </w:pPr>
      <w:r>
        <w:t>Ideally, a VSRS should complement the existing mandatory reporting systems. While reporting is critical to the success of any safety system, VSRSs could encompass various other supplementary reporting methods such as: collaborative mechanisms within service providers and the State, reporting managed by independent entities and investigative authorities</w:t>
      </w:r>
      <w:r w:rsidR="006E7366">
        <w:t>,</w:t>
      </w:r>
      <w:r>
        <w:t xml:space="preserve"> etc.</w:t>
      </w:r>
    </w:p>
    <w:p w14:paraId="451D3A5C" w14:textId="7E58C82F" w:rsidR="00226C5D" w:rsidRDefault="00226C5D" w:rsidP="00226C5D">
      <w:pPr>
        <w:pBdr>
          <w:top w:val="nil"/>
          <w:left w:val="nil"/>
          <w:bottom w:val="nil"/>
          <w:right w:val="nil"/>
          <w:between w:val="nil"/>
        </w:pBdr>
        <w:spacing w:line="259" w:lineRule="auto"/>
        <w:ind w:hanging="2"/>
      </w:pPr>
      <w:r>
        <w:t>Many States have set up a successful VSRS and have acquired a wealth of knowledge on the components of a successful voluntary system. Other States are using their established mandatory reporting systems to foster a positive culture of reporting safety issues. At the same time, some States have faced challenges and learned lessons along the way.</w:t>
      </w:r>
    </w:p>
    <w:p w14:paraId="77434414" w14:textId="46925324" w:rsidR="00226C5D" w:rsidRDefault="00226C5D" w:rsidP="00226C5D">
      <w:pPr>
        <w:pBdr>
          <w:top w:val="nil"/>
          <w:left w:val="nil"/>
          <w:bottom w:val="nil"/>
          <w:right w:val="nil"/>
          <w:between w:val="nil"/>
        </w:pBdr>
        <w:spacing w:line="259" w:lineRule="auto"/>
        <w:ind w:hanging="2"/>
      </w:pPr>
      <w:r>
        <w:t>Voluntary reporting is successful when a State embraces a Just Culture and understands the importance of establishing an atmosphere of trust, where its individuals are encouraged to report essential safety-related information and issues. This approach fosters the resolution of safety issues through corrective action rather than through punishment or discipline.</w:t>
      </w:r>
    </w:p>
    <w:p w14:paraId="6A97A049" w14:textId="543F3169" w:rsidR="00226C5D" w:rsidRDefault="00226C5D" w:rsidP="00226C5D">
      <w:pPr>
        <w:pBdr>
          <w:top w:val="nil"/>
          <w:left w:val="nil"/>
          <w:bottom w:val="nil"/>
          <w:right w:val="nil"/>
          <w:between w:val="nil"/>
        </w:pBdr>
        <w:spacing w:line="259" w:lineRule="auto"/>
        <w:ind w:hanging="2"/>
      </w:pPr>
      <w:r>
        <w:t>Just Culture is a critical step to building this trust in which reporters are not punished for actions, omissions, or decisions taken by them that are commensurate with their experience and training, but in which gross negligence and willful violations are not tolerated.</w:t>
      </w:r>
    </w:p>
    <w:p w14:paraId="10EFE0E4" w14:textId="5D9345CC" w:rsidR="00CA002D" w:rsidRPr="00CA002D" w:rsidRDefault="00CA002D" w:rsidP="00CA002D">
      <w:pPr>
        <w:tabs>
          <w:tab w:val="left" w:pos="6660"/>
        </w:tabs>
      </w:pPr>
      <w:r>
        <w:tab/>
      </w:r>
    </w:p>
    <w:p w14:paraId="0200A262" w14:textId="62AD1DD5" w:rsidR="00226C5D" w:rsidRDefault="00226C5D" w:rsidP="00226C5D">
      <w:pPr>
        <w:pBdr>
          <w:top w:val="nil"/>
          <w:left w:val="nil"/>
          <w:bottom w:val="nil"/>
          <w:right w:val="nil"/>
          <w:between w:val="nil"/>
        </w:pBdr>
        <w:spacing w:line="259" w:lineRule="auto"/>
        <w:ind w:hanging="2"/>
      </w:pPr>
      <w:r>
        <w:lastRenderedPageBreak/>
        <w:t>However, a Just Culture is not a “no-accountability” culture. VSRS processes should describe      acceptable and unacceptable behaviours and indicate which types of behaviours are unacceptable relative to activities. Robust process should also include the circumstances under which disciplinary action would apply in the event willful violations and gross negligence is evident.</w:t>
      </w:r>
    </w:p>
    <w:p w14:paraId="6E0FEB74" w14:textId="01C3F15E" w:rsidR="00226C5D" w:rsidRDefault="00226C5D" w:rsidP="00226C5D">
      <w:pPr>
        <w:pBdr>
          <w:top w:val="nil"/>
          <w:left w:val="nil"/>
          <w:bottom w:val="nil"/>
          <w:right w:val="nil"/>
          <w:between w:val="nil"/>
        </w:pBdr>
        <w:spacing w:line="259" w:lineRule="auto"/>
        <w:ind w:hanging="2"/>
      </w:pPr>
      <w:r>
        <w:t>Reporters must be informed abou</w:t>
      </w:r>
      <w:r w:rsidRPr="00F63741">
        <w:rPr>
          <w:color w:val="auto"/>
        </w:rPr>
        <w:t xml:space="preserve">t </w:t>
      </w:r>
      <w:r w:rsidR="0009520E" w:rsidRPr="00F63741">
        <w:rPr>
          <w:color w:val="auto"/>
        </w:rPr>
        <w:t xml:space="preserve">examples of </w:t>
      </w:r>
      <w:r w:rsidRPr="00F63741">
        <w:rPr>
          <w:color w:val="auto"/>
        </w:rPr>
        <w:t xml:space="preserve">what is acceptable and unacceptable behaviour and must understand the </w:t>
      </w:r>
      <w:r w:rsidR="00114E31" w:rsidRPr="00F63741">
        <w:rPr>
          <w:color w:val="auto"/>
        </w:rPr>
        <w:t xml:space="preserve">reporting </w:t>
      </w:r>
      <w:r w:rsidR="00FD7FAD" w:rsidRPr="00F63741">
        <w:rPr>
          <w:color w:val="auto"/>
        </w:rPr>
        <w:t>and general processing steps of the reports</w:t>
      </w:r>
      <w:r w:rsidRPr="00F63741">
        <w:rPr>
          <w:color w:val="auto"/>
        </w:rPr>
        <w:t>. Th</w:t>
      </w:r>
      <w:r>
        <w:t>is establishes the atmosphere of trust where the State will focus on the context of the event and systemic factors that are present, rather than the reporter’s actions. This will support prevention of the same type of event across the system. A reporter in a Just Culture must feel comfortable to report potential safety issues without fear of retribution.</w:t>
      </w:r>
    </w:p>
    <w:p w14:paraId="75247BF1" w14:textId="71C8A83E" w:rsidR="00226C5D" w:rsidRDefault="00226C5D" w:rsidP="00226C5D">
      <w:pPr>
        <w:pBdr>
          <w:top w:val="nil"/>
          <w:left w:val="nil"/>
          <w:bottom w:val="nil"/>
          <w:right w:val="nil"/>
          <w:between w:val="nil"/>
        </w:pBdr>
        <w:spacing w:line="259" w:lineRule="auto"/>
        <w:ind w:hanging="2"/>
      </w:pPr>
      <w:r>
        <w:t xml:space="preserve">However, setting up a well-functioning and trusted </w:t>
      </w:r>
      <w:r w:rsidR="00B83618">
        <w:t>VSRS</w:t>
      </w:r>
      <w:r>
        <w:t xml:space="preserve"> is not simple. It goes beyond setting up the reporting system and databases and includes the building of trust between the reporter and the entities collecting the reports.    </w:t>
      </w:r>
    </w:p>
    <w:p w14:paraId="762BFF75" w14:textId="6E399FBB" w:rsidR="00226C5D" w:rsidRDefault="00AA3020" w:rsidP="0082592D">
      <w:pPr>
        <w:autoSpaceDE/>
        <w:autoSpaceDN/>
        <w:adjustRightInd/>
        <w:spacing w:after="0"/>
      </w:pPr>
      <w:r>
        <w:t xml:space="preserve">Figure 1 illustrates the relationship between voluntary reporting and the safety culture sub-components. </w:t>
      </w:r>
      <w:r w:rsidR="00226C5D">
        <w:t xml:space="preserve">The presence of a Just </w:t>
      </w:r>
      <w:r w:rsidR="00226C5D" w:rsidRPr="00F63741">
        <w:rPr>
          <w:color w:val="auto"/>
        </w:rPr>
        <w:t xml:space="preserve">Culture is </w:t>
      </w:r>
      <w:r w:rsidR="0082592D" w:rsidRPr="00F63741">
        <w:rPr>
          <w:color w:val="auto"/>
        </w:rPr>
        <w:t>important</w:t>
      </w:r>
      <w:r w:rsidR="00226C5D" w:rsidRPr="00F63741">
        <w:rPr>
          <w:color w:val="auto"/>
        </w:rPr>
        <w:t xml:space="preserve"> to enable an effective </w:t>
      </w:r>
      <w:r w:rsidR="00226C5D">
        <w:t xml:space="preserve">Reporting Culture. </w:t>
      </w:r>
      <w:r w:rsidR="00666E33" w:rsidRPr="00666E33">
        <w:t>The remaining three sub-components of Safety Culture are important to the success of voluntary reporting. When mistakes are learned from, appropriate changes are made, and the State adapts effectively to those changes, the State demonstrates a Flexible Culture. As the State continuously collects and analyses relevant data and actively disseminates safety information, it is demonstrating an Informed Culture.</w:t>
      </w:r>
      <w:r w:rsidR="00666E33">
        <w:t xml:space="preserve"> </w:t>
      </w:r>
    </w:p>
    <w:p w14:paraId="192F29A8" w14:textId="50FE1E66" w:rsidR="00226C5D" w:rsidRDefault="00226C5D" w:rsidP="001B6E24">
      <w:pPr>
        <w:keepNext/>
        <w:pBdr>
          <w:top w:val="nil"/>
          <w:left w:val="nil"/>
          <w:bottom w:val="nil"/>
          <w:right w:val="nil"/>
          <w:between w:val="nil"/>
        </w:pBdr>
        <w:spacing w:line="259" w:lineRule="auto"/>
      </w:pPr>
      <w:r>
        <w:rPr>
          <w:noProof/>
          <w:lang w:val="en-NZ"/>
        </w:rPr>
        <w:lastRenderedPageBreak/>
        <w:drawing>
          <wp:inline distT="0" distB="0" distL="0" distR="0" wp14:anchorId="3FE1181B" wp14:editId="183FB411">
            <wp:extent cx="6079490" cy="44958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a:extLst>
                        <a:ext uri="{28A0092B-C50C-407E-A947-70E740481C1C}">
                          <a14:useLocalDpi xmlns:a14="http://schemas.microsoft.com/office/drawing/2010/main" val="0"/>
                        </a:ext>
                      </a:extLst>
                    </a:blip>
                    <a:srcRect t="4785" b="4785"/>
                    <a:stretch>
                      <a:fillRect/>
                    </a:stretch>
                  </pic:blipFill>
                  <pic:spPr bwMode="auto">
                    <a:xfrm>
                      <a:off x="0" y="0"/>
                      <a:ext cx="6079490" cy="4495800"/>
                    </a:xfrm>
                    <a:prstGeom prst="rect">
                      <a:avLst/>
                    </a:prstGeom>
                    <a:noFill/>
                    <a:ln>
                      <a:noFill/>
                    </a:ln>
                    <a:extLst>
                      <a:ext uri="{53640926-AAD7-44D8-BBD7-CCE9431645EC}">
                        <a14:shadowObscured xmlns:a14="http://schemas.microsoft.com/office/drawing/2010/main"/>
                      </a:ext>
                    </a:extLst>
                  </pic:spPr>
                </pic:pic>
              </a:graphicData>
            </a:graphic>
          </wp:inline>
        </w:drawing>
      </w:r>
    </w:p>
    <w:p w14:paraId="039C3EF7" w14:textId="41A72D20" w:rsidR="001B6E24" w:rsidRDefault="001B6E24" w:rsidP="001B6E24">
      <w:pPr>
        <w:keepNext/>
        <w:pBdr>
          <w:top w:val="nil"/>
          <w:left w:val="nil"/>
          <w:bottom w:val="nil"/>
          <w:right w:val="nil"/>
          <w:between w:val="nil"/>
        </w:pBdr>
        <w:spacing w:line="259" w:lineRule="auto"/>
        <w:jc w:val="center"/>
        <w:rPr>
          <w:b/>
          <w:bCs/>
          <w:sz w:val="22"/>
        </w:rPr>
      </w:pPr>
      <w:r w:rsidRPr="003C3933">
        <w:rPr>
          <w:b/>
          <w:bCs/>
          <w:sz w:val="22"/>
        </w:rPr>
        <w:t xml:space="preserve">Figure 1: Relationship Between Voluntary Reporting and Safety Culture </w:t>
      </w:r>
      <w:r w:rsidR="00B83618">
        <w:rPr>
          <w:b/>
          <w:bCs/>
          <w:sz w:val="22"/>
        </w:rPr>
        <w:t>Sub-</w:t>
      </w:r>
      <w:r w:rsidRPr="003C3933">
        <w:rPr>
          <w:b/>
          <w:bCs/>
          <w:sz w:val="22"/>
        </w:rPr>
        <w:t>Components</w:t>
      </w:r>
      <w:r w:rsidR="00F63741">
        <w:rPr>
          <w:rStyle w:val="FootnoteReference"/>
          <w:b/>
          <w:bCs/>
          <w:sz w:val="22"/>
        </w:rPr>
        <w:footnoteReference w:id="1"/>
      </w:r>
    </w:p>
    <w:p w14:paraId="7082EDB9" w14:textId="19F13719" w:rsidR="000320D6" w:rsidRPr="00A80720" w:rsidRDefault="00982B5C" w:rsidP="00226C5D">
      <w:pPr>
        <w:pStyle w:val="Heading1"/>
        <w:keepNext/>
      </w:pPr>
      <w:bookmarkStart w:id="18" w:name="_Toc187919589"/>
      <w:bookmarkEnd w:id="17"/>
      <w:r>
        <w:t>Definitions</w:t>
      </w:r>
      <w:bookmarkEnd w:id="18"/>
    </w:p>
    <w:p w14:paraId="59270DA8" w14:textId="6EEE1CF4" w:rsidR="00982B5C" w:rsidRDefault="00F57031" w:rsidP="00982B5C">
      <w:r>
        <w:t>T</w:t>
      </w:r>
      <w:r w:rsidR="00982B5C" w:rsidRPr="00982B5C">
        <w:t xml:space="preserve">he </w:t>
      </w:r>
      <w:hyperlink r:id="rId23" w:history="1">
        <w:r w:rsidR="00982B5C" w:rsidRPr="00F57031">
          <w:rPr>
            <w:rStyle w:val="Hyperlink"/>
          </w:rPr>
          <w:t>SM ICG Safety Management Terminology</w:t>
        </w:r>
      </w:hyperlink>
      <w:r w:rsidR="00982B5C" w:rsidRPr="00982B5C">
        <w:t xml:space="preserve"> </w:t>
      </w:r>
      <w:r>
        <w:t>document contains</w:t>
      </w:r>
      <w:r w:rsidR="00982B5C" w:rsidRPr="00982B5C">
        <w:t xml:space="preserve"> a comprehensive list of terms and definitions. </w:t>
      </w:r>
      <w:r>
        <w:t xml:space="preserve">It </w:t>
      </w:r>
      <w:r w:rsidR="00982B5C" w:rsidRPr="00982B5C">
        <w:t>provides a common set of safety management related terms and definitions for use by the civil aviation community and to assist in effective communication and safety information sharing. The SM ICG encourages the civil aviation community to use these terms and definitions in their safety management-related activities.</w:t>
      </w:r>
    </w:p>
    <w:p w14:paraId="6F680243" w14:textId="30B9CEBE" w:rsidR="000320D6" w:rsidRPr="00424631" w:rsidRDefault="00982B5C" w:rsidP="002F71C5">
      <w:pPr>
        <w:pStyle w:val="Heading1"/>
      </w:pPr>
      <w:bookmarkStart w:id="19" w:name="_Toc187919590"/>
      <w:r>
        <w:t>Structure</w:t>
      </w:r>
      <w:bookmarkEnd w:id="19"/>
    </w:p>
    <w:p w14:paraId="52BB1C6A" w14:textId="4AC7C246" w:rsidR="00982B5C" w:rsidRDefault="00982B5C" w:rsidP="00B55B33">
      <w:r w:rsidRPr="00982B5C">
        <w:t>The State VSRS in most cases will be managed by the Civil Aviation Authority (CAA) or the Safety Investigation Authority. Alternatively, the VSRS may be managed by an independent entity entrusted by the State.</w:t>
      </w:r>
    </w:p>
    <w:p w14:paraId="357E36E8" w14:textId="1EE9A3E4" w:rsidR="00BD5BF7" w:rsidRDefault="00982B5C" w:rsidP="00B55B33">
      <w:pPr>
        <w:pStyle w:val="BodyText"/>
      </w:pPr>
      <w:r w:rsidRPr="00982B5C">
        <w:lastRenderedPageBreak/>
        <w:t>The State may also integrate the VSRS system with the mandatory safety reporting system to form a single safety reporting system</w:t>
      </w:r>
      <w:r w:rsidR="00F57031">
        <w:t>;</w:t>
      </w:r>
      <w:r w:rsidRPr="00982B5C">
        <w:t xml:space="preserve"> however</w:t>
      </w:r>
      <w:r w:rsidR="00F57031">
        <w:t>,</w:t>
      </w:r>
      <w:r w:rsidRPr="00982B5C">
        <w:t xml:space="preserve"> the principles of a Just Culture should remain intact</w:t>
      </w:r>
      <w:r>
        <w:t>.</w:t>
      </w:r>
    </w:p>
    <w:p w14:paraId="768871F0" w14:textId="4A17B2A7" w:rsidR="00982B5C" w:rsidRDefault="00982B5C" w:rsidP="00982B5C">
      <w:pPr>
        <w:pStyle w:val="BodyText"/>
      </w:pPr>
      <w:r>
        <w:t>The individual(s)</w:t>
      </w:r>
      <w:r w:rsidR="00F57031">
        <w:t xml:space="preserve"> </w:t>
      </w:r>
      <w:r>
        <w:t xml:space="preserve">in charge of the VSRS should work in a structure that operates independently of other departments within the CAA. An independent structure within the CAA is important to ensure the reporters information is kept confidential with the aim of enhancing </w:t>
      </w:r>
      <w:r w:rsidR="00F57031">
        <w:t>J</w:t>
      </w:r>
      <w:r>
        <w:t xml:space="preserve">ust </w:t>
      </w:r>
      <w:r w:rsidR="00F57031">
        <w:t>C</w:t>
      </w:r>
      <w:r>
        <w:t>ulture and confidence in the system.</w:t>
      </w:r>
    </w:p>
    <w:p w14:paraId="5D7ED23E" w14:textId="0C94C27D" w:rsidR="00982B5C" w:rsidRDefault="00982B5C" w:rsidP="00982B5C">
      <w:pPr>
        <w:pStyle w:val="BodyText"/>
      </w:pPr>
      <w:r>
        <w:t>The independent nature of the structure should begin at the stage of collecting reports</w:t>
      </w:r>
      <w:r w:rsidR="00F57031">
        <w:t xml:space="preserve">. It should </w:t>
      </w:r>
      <w:r>
        <w:t>continue as reports are de-identified, classified</w:t>
      </w:r>
      <w:r w:rsidR="00F57031">
        <w:t>,</w:t>
      </w:r>
      <w:r>
        <w:t xml:space="preserve"> and analysed. The initial assessment of the report should begin during the collection and validation phase when the report is classified based on acceptable and unacceptable safety behaviours. Only departments with immediate safety responsibilities should be included in the assessment or processing of a voluntary report. Forwarding safety information to relevant departments within the CAA must be discreetly managed so that it is consistent with the rules on confidentiality and </w:t>
      </w:r>
      <w:r w:rsidR="0081545A">
        <w:t>J</w:t>
      </w:r>
      <w:r>
        <w:t xml:space="preserve">ust </w:t>
      </w:r>
      <w:r w:rsidR="0081545A">
        <w:t>C</w:t>
      </w:r>
      <w:r>
        <w:t>ulture. In essence, information from reports should be used strictly for the purpose</w:t>
      </w:r>
      <w:r w:rsidR="0081545A">
        <w:t xml:space="preserve"> of</w:t>
      </w:r>
      <w:r>
        <w:t xml:space="preserve"> improving aviation safety</w:t>
      </w:r>
      <w:r w:rsidR="0073306D">
        <w:t xml:space="preserve"> only</w:t>
      </w:r>
      <w:r>
        <w:t>.</w:t>
      </w:r>
    </w:p>
    <w:p w14:paraId="345BB950" w14:textId="73E9AE25" w:rsidR="00982B5C" w:rsidRPr="00424631" w:rsidRDefault="00982B5C" w:rsidP="00982B5C">
      <w:pPr>
        <w:pStyle w:val="BodyText"/>
      </w:pPr>
      <w:r>
        <w:t>Internal procedures will be necessary to describe how confidentiality is ensured, how analysis is conducted, the type of safety information to be forwarded to other departments, and how the VSRS interacts with other CAA processes.</w:t>
      </w:r>
    </w:p>
    <w:p w14:paraId="436822E2" w14:textId="2914A9F2" w:rsidR="00982B5C" w:rsidRPr="00424631" w:rsidRDefault="00982B5C" w:rsidP="00982B5C">
      <w:pPr>
        <w:pStyle w:val="Heading1"/>
      </w:pPr>
      <w:bookmarkStart w:id="20" w:name="_Toc187919591"/>
      <w:r w:rsidRPr="00982B5C">
        <w:t>General Processing of Reports</w:t>
      </w:r>
      <w:bookmarkEnd w:id="20"/>
    </w:p>
    <w:p w14:paraId="40553858" w14:textId="0E92C7D2" w:rsidR="00982B5C" w:rsidRDefault="00982B5C" w:rsidP="00982B5C">
      <w:r>
        <w:t>A State website, such as the CAA website, may serve as the voluntary safety reporting portal. The reporting portal is the front end of the VSRS, where users interact with the system and submit their reports. Inclusion of the portal prominently on th</w:t>
      </w:r>
      <w:r w:rsidR="00837701">
        <w:t>e</w:t>
      </w:r>
      <w:r>
        <w:t xml:space="preserve"> State website may enhance accessibility and provide immediate access to other information embedded in the site. The portal to the VSRS can provide other useful information to the reporter, such as links to relevant legislation, protections, learning opportunit</w:t>
      </w:r>
      <w:r w:rsidRPr="00F63741">
        <w:rPr>
          <w:color w:val="auto"/>
        </w:rPr>
        <w:t xml:space="preserve">ies, </w:t>
      </w:r>
      <w:r w:rsidR="00382E4F" w:rsidRPr="00F63741">
        <w:rPr>
          <w:color w:val="auto"/>
        </w:rPr>
        <w:t>examples of acceptable and unacceptable behavio</w:t>
      </w:r>
      <w:r w:rsidR="00BA403A">
        <w:rPr>
          <w:color w:val="auto"/>
        </w:rPr>
        <w:t>u</w:t>
      </w:r>
      <w:r w:rsidR="00382E4F" w:rsidRPr="00F63741">
        <w:rPr>
          <w:color w:val="auto"/>
        </w:rPr>
        <w:t xml:space="preserve">rs, </w:t>
      </w:r>
      <w:r>
        <w:t>and safety</w:t>
      </w:r>
      <w:r w:rsidR="00837701">
        <w:t>-</w:t>
      </w:r>
      <w:r>
        <w:t>related communication designed to encourage reporting.</w:t>
      </w:r>
    </w:p>
    <w:p w14:paraId="538865CD" w14:textId="2A3FEFC7" w:rsidR="00BD5BF7" w:rsidRDefault="00982B5C" w:rsidP="00982B5C">
      <w:r>
        <w:t xml:space="preserve">Information should be visible on the portal that provides instruction for the use of the system. In addition, the purpose of the VSRS and guidance on what a reporter may expect once their report is made </w:t>
      </w:r>
      <w:r w:rsidR="00837701">
        <w:t>(</w:t>
      </w:r>
      <w:r>
        <w:t>i.e.</w:t>
      </w:r>
      <w:r w:rsidR="00837701">
        <w:t>,</w:t>
      </w:r>
      <w:r>
        <w:t xml:space="preserve"> feedback</w:t>
      </w:r>
      <w:r w:rsidR="00837701">
        <w:t>)</w:t>
      </w:r>
      <w:r>
        <w:t xml:space="preserve"> should be included.</w:t>
      </w:r>
      <w:r w:rsidR="001B6E24">
        <w:t xml:space="preserve"> Figure 2 shows a graphical representation of the general processing of reports.</w:t>
      </w:r>
    </w:p>
    <w:p w14:paraId="0FC0F394" w14:textId="6155C748" w:rsidR="00B42659" w:rsidRPr="00F63741" w:rsidRDefault="00602738" w:rsidP="00E02560">
      <w:pPr>
        <w:rPr>
          <w:color w:val="auto"/>
        </w:rPr>
      </w:pPr>
      <w:r w:rsidRPr="00F63741">
        <w:rPr>
          <w:color w:val="auto"/>
        </w:rPr>
        <w:t>During the processing of the reports,</w:t>
      </w:r>
      <w:r w:rsidR="00F17B90" w:rsidRPr="00F63741">
        <w:rPr>
          <w:color w:val="auto"/>
        </w:rPr>
        <w:t xml:space="preserve"> there may be instances where the reporter may need to be contacted to seek clarification if insufficient or unclear information is provided in the report.</w:t>
      </w:r>
      <w:r w:rsidR="00E02560" w:rsidRPr="00F63741">
        <w:rPr>
          <w:color w:val="auto"/>
        </w:rPr>
        <w:t xml:space="preserve"> Subsequently,</w:t>
      </w:r>
      <w:r w:rsidR="00F17B90" w:rsidRPr="00F63741">
        <w:rPr>
          <w:color w:val="auto"/>
        </w:rPr>
        <w:t xml:space="preserve"> </w:t>
      </w:r>
      <w:r w:rsidR="00F63741" w:rsidRPr="00F63741">
        <w:rPr>
          <w:color w:val="auto"/>
        </w:rPr>
        <w:t xml:space="preserve">a </w:t>
      </w:r>
      <w:r w:rsidR="00F17B90" w:rsidRPr="00F63741">
        <w:rPr>
          <w:color w:val="auto"/>
        </w:rPr>
        <w:t xml:space="preserve">visit to the location to obtain more information or to verify claim/facts </w:t>
      </w:r>
      <w:r w:rsidR="00F63741">
        <w:rPr>
          <w:color w:val="auto"/>
        </w:rPr>
        <w:t>will</w:t>
      </w:r>
      <w:r w:rsidR="00F17B90" w:rsidRPr="00F63741">
        <w:rPr>
          <w:color w:val="auto"/>
        </w:rPr>
        <w:t xml:space="preserve"> ensure a meaningful and accurate analysis</w:t>
      </w:r>
      <w:r w:rsidR="00417D07" w:rsidRPr="00F63741">
        <w:rPr>
          <w:color w:val="auto"/>
        </w:rPr>
        <w:t xml:space="preserve"> is completed </w:t>
      </w:r>
      <w:r w:rsidR="00F17B90" w:rsidRPr="00F63741">
        <w:rPr>
          <w:color w:val="auto"/>
        </w:rPr>
        <w:t xml:space="preserve">before </w:t>
      </w:r>
      <w:r w:rsidR="00417D07" w:rsidRPr="00F63741">
        <w:rPr>
          <w:color w:val="auto"/>
        </w:rPr>
        <w:t>processing the report</w:t>
      </w:r>
      <w:r w:rsidR="00F17B90" w:rsidRPr="00F63741">
        <w:rPr>
          <w:color w:val="auto"/>
        </w:rPr>
        <w:t>.</w:t>
      </w:r>
    </w:p>
    <w:p w14:paraId="27EA806D" w14:textId="784D38CC" w:rsidR="00602738" w:rsidRPr="00424631" w:rsidRDefault="00602738" w:rsidP="00982B5C"/>
    <w:p w14:paraId="4514BA99" w14:textId="68E3C1D2" w:rsidR="00982B5C" w:rsidRPr="00982B5C" w:rsidRDefault="00CF775E" w:rsidP="000063A4">
      <w:pPr>
        <w:widowControl w:val="0"/>
        <w:adjustRightInd/>
        <w:spacing w:after="0"/>
        <w:jc w:val="center"/>
        <w:rPr>
          <w:b/>
          <w:bCs/>
        </w:rPr>
      </w:pPr>
      <w:r>
        <w:rPr>
          <w:b/>
          <w:bCs/>
          <w:noProof/>
        </w:rPr>
        <w:lastRenderedPageBreak/>
        <w:drawing>
          <wp:inline distT="0" distB="0" distL="0" distR="0" wp14:anchorId="048F9785" wp14:editId="694AE9BE">
            <wp:extent cx="6007100" cy="7743825"/>
            <wp:effectExtent l="0" t="0" r="0" b="9525"/>
            <wp:docPr id="4413026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2687" name="Picture 441302687"/>
                    <pic:cNvPicPr/>
                  </pic:nvPicPr>
                  <pic:blipFill rotWithShape="1">
                    <a:blip r:embed="rId24" cstate="print">
                      <a:extLst>
                        <a:ext uri="{28A0092B-C50C-407E-A947-70E740481C1C}">
                          <a14:useLocalDpi xmlns:a14="http://schemas.microsoft.com/office/drawing/2010/main" val="0"/>
                        </a:ext>
                      </a:extLst>
                    </a:blip>
                    <a:srcRect t="5270" b="3565"/>
                    <a:stretch/>
                  </pic:blipFill>
                  <pic:spPr bwMode="auto">
                    <a:xfrm>
                      <a:off x="0" y="0"/>
                      <a:ext cx="6007100" cy="7743825"/>
                    </a:xfrm>
                    <a:prstGeom prst="rect">
                      <a:avLst/>
                    </a:prstGeom>
                    <a:ln>
                      <a:noFill/>
                    </a:ln>
                    <a:extLst>
                      <a:ext uri="{53640926-AAD7-44D8-BBD7-CCE9431645EC}">
                        <a14:shadowObscured xmlns:a14="http://schemas.microsoft.com/office/drawing/2010/main"/>
                      </a:ext>
                    </a:extLst>
                  </pic:spPr>
                </pic:pic>
              </a:graphicData>
            </a:graphic>
          </wp:inline>
        </w:drawing>
      </w:r>
    </w:p>
    <w:p w14:paraId="26712E44" w14:textId="0A6A1C37" w:rsidR="00BD5BF7" w:rsidRPr="003C3933" w:rsidRDefault="001B6E24" w:rsidP="001B6E24">
      <w:pPr>
        <w:widowControl w:val="0"/>
        <w:adjustRightInd/>
        <w:spacing w:after="0"/>
        <w:jc w:val="center"/>
        <w:rPr>
          <w:b/>
          <w:bCs/>
          <w:sz w:val="22"/>
        </w:rPr>
      </w:pPr>
      <w:r w:rsidRPr="003C3933">
        <w:rPr>
          <w:b/>
          <w:bCs/>
          <w:sz w:val="22"/>
        </w:rPr>
        <w:t>Figure 2: A Graphical Representation of General Processing of Reports</w:t>
      </w:r>
      <w:r w:rsidR="00BD5BF7" w:rsidRPr="003C3933">
        <w:rPr>
          <w:sz w:val="22"/>
        </w:rPr>
        <w:br w:type="page"/>
      </w:r>
    </w:p>
    <w:p w14:paraId="2E0A3539" w14:textId="79887698" w:rsidR="001C40A2" w:rsidRPr="00424631" w:rsidRDefault="00982B5C" w:rsidP="002F71C5">
      <w:pPr>
        <w:pStyle w:val="Heading1"/>
      </w:pPr>
      <w:bookmarkStart w:id="21" w:name="_Toc187919592"/>
      <w:r w:rsidRPr="00982B5C">
        <w:lastRenderedPageBreak/>
        <w:t>Interfaces</w:t>
      </w:r>
      <w:bookmarkEnd w:id="21"/>
    </w:p>
    <w:p w14:paraId="4355DD31" w14:textId="76D504CE" w:rsidR="00982B5C" w:rsidRDefault="00982B5C" w:rsidP="00982B5C">
      <w:bookmarkStart w:id="22" w:name="_Toc168066124"/>
      <w:r w:rsidRPr="00982B5C">
        <w:t>VSRS Interfaces drive actions at the State level, influencing internal aspects such as State practices, policies</w:t>
      </w:r>
      <w:r>
        <w:t>,</w:t>
      </w:r>
      <w:r w:rsidRPr="00982B5C">
        <w:t xml:space="preserve"> and procedures, as well as external functions such as oversight and safety promotion. These should effectively address the most critical safety concerns within the aviation system.</w:t>
      </w:r>
    </w:p>
    <w:p w14:paraId="62BF9AB9" w14:textId="691FF77E" w:rsidR="00982B5C" w:rsidRPr="003D1063" w:rsidRDefault="00982B5C" w:rsidP="003D1063">
      <w:pPr>
        <w:pStyle w:val="Heading2"/>
      </w:pPr>
      <w:bookmarkStart w:id="23" w:name="_Toc187919593"/>
      <w:r w:rsidRPr="003D1063">
        <w:t>Integrated Management System</w:t>
      </w:r>
      <w:bookmarkEnd w:id="23"/>
    </w:p>
    <w:p w14:paraId="0CF1449F" w14:textId="77777777" w:rsidR="00EB11DE" w:rsidRPr="00BA403A" w:rsidRDefault="00982B5C" w:rsidP="003E382C">
      <w:pPr>
        <w:pStyle w:val="ListParagraph"/>
        <w:numPr>
          <w:ilvl w:val="0"/>
          <w:numId w:val="3"/>
        </w:numPr>
        <w:spacing w:before="0"/>
        <w:ind w:left="360" w:hanging="360"/>
        <w:rPr>
          <w:rFonts w:eastAsia="Verdana"/>
          <w:color w:val="auto"/>
        </w:rPr>
      </w:pPr>
      <w:r w:rsidRPr="00BA403A">
        <w:rPr>
          <w:rFonts w:eastAsia="Verdana"/>
          <w:color w:val="auto"/>
        </w:rPr>
        <w:t>As an indication of a mature management system</w:t>
      </w:r>
      <w:r w:rsidR="00837701" w:rsidRPr="00BA403A">
        <w:rPr>
          <w:rFonts w:eastAsia="Verdana"/>
          <w:color w:val="auto"/>
        </w:rPr>
        <w:t>,</w:t>
      </w:r>
      <w:r w:rsidRPr="00BA403A">
        <w:rPr>
          <w:rFonts w:eastAsia="Verdana"/>
          <w:color w:val="auto"/>
        </w:rPr>
        <w:t xml:space="preserve"> the State should have the ability to share information from different domains (e.g.</w:t>
      </w:r>
      <w:r w:rsidR="00837701" w:rsidRPr="00BA403A">
        <w:rPr>
          <w:rFonts w:eastAsia="Verdana"/>
          <w:color w:val="auto"/>
        </w:rPr>
        <w:t>,</w:t>
      </w:r>
      <w:r w:rsidRPr="00BA403A">
        <w:rPr>
          <w:rFonts w:eastAsia="Verdana"/>
          <w:color w:val="auto"/>
        </w:rPr>
        <w:t xml:space="preserve"> safety, security, health). An integrated risk management process arises when the appropriate sharing of information and associated risk mitigating actions cross separate domains that have had little previous interaction in this regard.</w:t>
      </w:r>
      <w:r w:rsidR="000E4D96" w:rsidRPr="00BA403A">
        <w:rPr>
          <w:rFonts w:eastAsia="Verdana"/>
          <w:color w:val="auto"/>
        </w:rPr>
        <w:t xml:space="preserve"> </w:t>
      </w:r>
    </w:p>
    <w:p w14:paraId="6B9F851E" w14:textId="7E7812D2" w:rsidR="00982B5C" w:rsidRPr="00BA403A" w:rsidRDefault="000E4D96" w:rsidP="003E382C">
      <w:pPr>
        <w:pStyle w:val="ListParagraph"/>
        <w:numPr>
          <w:ilvl w:val="0"/>
          <w:numId w:val="3"/>
        </w:numPr>
        <w:spacing w:before="0"/>
        <w:ind w:left="360" w:hanging="360"/>
        <w:rPr>
          <w:rFonts w:eastAsia="Verdana"/>
          <w:color w:val="auto"/>
        </w:rPr>
      </w:pPr>
      <w:r w:rsidRPr="00BA403A">
        <w:rPr>
          <w:rFonts w:eastAsia="Verdana"/>
          <w:color w:val="auto"/>
        </w:rPr>
        <w:t>Occasionally</w:t>
      </w:r>
      <w:r w:rsidR="00BA403A">
        <w:rPr>
          <w:rFonts w:eastAsia="Verdana"/>
          <w:color w:val="auto"/>
        </w:rPr>
        <w:t>,</w:t>
      </w:r>
      <w:r w:rsidRPr="00BA403A">
        <w:rPr>
          <w:rFonts w:eastAsia="Verdana"/>
          <w:color w:val="auto"/>
        </w:rPr>
        <w:t xml:space="preserve"> valid reports may be received through the wrong channel (due to the reporter's interpretation of or familiarity with which reporting tool to use</w:t>
      </w:r>
      <w:r w:rsidR="00BA403A">
        <w:rPr>
          <w:rFonts w:eastAsia="Verdana"/>
          <w:color w:val="auto"/>
        </w:rPr>
        <w:t>,</w:t>
      </w:r>
      <w:r w:rsidRPr="00BA403A">
        <w:rPr>
          <w:rFonts w:eastAsia="Verdana"/>
          <w:color w:val="auto"/>
        </w:rPr>
        <w:t xml:space="preserve"> especially voluntary </w:t>
      </w:r>
      <w:r w:rsidR="00BA403A">
        <w:rPr>
          <w:rFonts w:eastAsia="Verdana"/>
          <w:color w:val="auto"/>
        </w:rPr>
        <w:t>versus</w:t>
      </w:r>
      <w:r w:rsidRPr="00BA403A">
        <w:rPr>
          <w:rFonts w:eastAsia="Verdana"/>
          <w:color w:val="auto"/>
        </w:rPr>
        <w:t xml:space="preserve"> mandatory reports, or aviation safety </w:t>
      </w:r>
      <w:r w:rsidR="00BA403A">
        <w:rPr>
          <w:rFonts w:eastAsia="Verdana"/>
          <w:color w:val="auto"/>
        </w:rPr>
        <w:t>versus</w:t>
      </w:r>
      <w:r w:rsidRPr="00BA403A">
        <w:rPr>
          <w:rFonts w:eastAsia="Verdana"/>
          <w:color w:val="auto"/>
        </w:rPr>
        <w:t xml:space="preserve"> </w:t>
      </w:r>
      <w:r w:rsidR="00075143" w:rsidRPr="00BA403A">
        <w:rPr>
          <w:rFonts w:eastAsia="Verdana"/>
          <w:color w:val="auto"/>
        </w:rPr>
        <w:t>occu</w:t>
      </w:r>
      <w:r w:rsidR="00234233" w:rsidRPr="00BA403A">
        <w:rPr>
          <w:rFonts w:eastAsia="Verdana"/>
          <w:color w:val="auto"/>
        </w:rPr>
        <w:t>pational</w:t>
      </w:r>
      <w:r w:rsidRPr="00BA403A">
        <w:rPr>
          <w:rFonts w:eastAsia="Verdana"/>
          <w:color w:val="auto"/>
        </w:rPr>
        <w:t xml:space="preserve"> </w:t>
      </w:r>
      <w:r w:rsidR="00BA403A">
        <w:rPr>
          <w:rFonts w:eastAsia="Verdana"/>
          <w:color w:val="auto"/>
        </w:rPr>
        <w:t>versus</w:t>
      </w:r>
      <w:r w:rsidRPr="00BA403A">
        <w:rPr>
          <w:rFonts w:eastAsia="Verdana"/>
          <w:color w:val="auto"/>
        </w:rPr>
        <w:t xml:space="preserve"> whistleblowing </w:t>
      </w:r>
      <w:r w:rsidR="00234233" w:rsidRPr="00BA403A">
        <w:rPr>
          <w:rFonts w:eastAsia="Verdana"/>
          <w:color w:val="auto"/>
        </w:rPr>
        <w:t>and/or</w:t>
      </w:r>
      <w:r w:rsidRPr="00BA403A">
        <w:rPr>
          <w:rFonts w:eastAsia="Verdana"/>
          <w:color w:val="auto"/>
        </w:rPr>
        <w:t xml:space="preserve"> security), which may </w:t>
      </w:r>
      <w:r w:rsidR="00084A60" w:rsidRPr="00BA403A">
        <w:rPr>
          <w:rFonts w:eastAsia="Verdana"/>
          <w:color w:val="auto"/>
        </w:rPr>
        <w:t>require forwarding or sharing with the</w:t>
      </w:r>
      <w:r w:rsidRPr="00BA403A">
        <w:rPr>
          <w:rFonts w:eastAsia="Verdana"/>
          <w:color w:val="auto"/>
        </w:rPr>
        <w:t xml:space="preserve"> </w:t>
      </w:r>
      <w:r w:rsidR="00084A60" w:rsidRPr="00BA403A">
        <w:rPr>
          <w:rFonts w:eastAsia="Verdana"/>
          <w:color w:val="auto"/>
        </w:rPr>
        <w:t>appropriate</w:t>
      </w:r>
      <w:r w:rsidRPr="00BA403A">
        <w:rPr>
          <w:rFonts w:eastAsia="Verdana"/>
          <w:color w:val="auto"/>
        </w:rPr>
        <w:t xml:space="preserve"> channel for processing.</w:t>
      </w:r>
    </w:p>
    <w:p w14:paraId="61C2CEE6" w14:textId="29B77546" w:rsidR="00982B5C" w:rsidRPr="00BA403A" w:rsidRDefault="00982B5C" w:rsidP="003E382C">
      <w:pPr>
        <w:pStyle w:val="ListParagraph"/>
        <w:numPr>
          <w:ilvl w:val="0"/>
          <w:numId w:val="3"/>
        </w:numPr>
        <w:spacing w:before="0"/>
        <w:ind w:left="360" w:hanging="360"/>
        <w:rPr>
          <w:rFonts w:eastAsia="Verdana"/>
          <w:color w:val="auto"/>
        </w:rPr>
      </w:pPr>
      <w:r w:rsidRPr="00BA403A">
        <w:rPr>
          <w:rFonts w:eastAsia="Verdana"/>
          <w:color w:val="auto"/>
        </w:rPr>
        <w:t>Safety data collected through multiple VSRS</w:t>
      </w:r>
      <w:r w:rsidR="0012286C" w:rsidRPr="00BA403A">
        <w:rPr>
          <w:rFonts w:eastAsia="Verdana"/>
          <w:color w:val="auto"/>
        </w:rPr>
        <w:t>s</w:t>
      </w:r>
      <w:r w:rsidRPr="00BA403A">
        <w:rPr>
          <w:rFonts w:eastAsia="Verdana"/>
          <w:color w:val="auto"/>
        </w:rPr>
        <w:t xml:space="preserve"> should be integrated at the State</w:t>
      </w:r>
      <w:r w:rsidR="000E3C6C" w:rsidRPr="00BA403A">
        <w:rPr>
          <w:rFonts w:eastAsia="Verdana"/>
          <w:color w:val="auto"/>
        </w:rPr>
        <w:t xml:space="preserve"> l</w:t>
      </w:r>
      <w:r w:rsidRPr="00BA403A">
        <w:rPr>
          <w:rFonts w:eastAsia="Verdana"/>
          <w:color w:val="auto"/>
        </w:rPr>
        <w:t xml:space="preserve">evel. Different </w:t>
      </w:r>
      <w:r w:rsidR="0012286C" w:rsidRPr="00BA403A">
        <w:rPr>
          <w:rFonts w:eastAsia="Verdana"/>
          <w:color w:val="auto"/>
        </w:rPr>
        <w:t>a</w:t>
      </w:r>
      <w:r w:rsidRPr="00BA403A">
        <w:rPr>
          <w:rFonts w:eastAsia="Verdana"/>
          <w:color w:val="auto"/>
        </w:rPr>
        <w:t>uthorities within a State typically collecting voluntary safety reports per their individual management systems are encouraged to share de-identified information at the State</w:t>
      </w:r>
      <w:r w:rsidR="000E3C6C" w:rsidRPr="00BA403A">
        <w:rPr>
          <w:rFonts w:eastAsia="Verdana"/>
          <w:color w:val="auto"/>
        </w:rPr>
        <w:t xml:space="preserve"> l</w:t>
      </w:r>
      <w:r w:rsidRPr="00BA403A">
        <w:rPr>
          <w:rFonts w:eastAsia="Verdana"/>
          <w:color w:val="auto"/>
        </w:rPr>
        <w:t>evel.</w:t>
      </w:r>
    </w:p>
    <w:p w14:paraId="09884944" w14:textId="7ECBB803" w:rsidR="00982B5C" w:rsidRPr="003D1063" w:rsidRDefault="00982B5C" w:rsidP="003D1063">
      <w:pPr>
        <w:pStyle w:val="Heading2"/>
      </w:pPr>
      <w:bookmarkStart w:id="24" w:name="_Toc187919594"/>
      <w:r w:rsidRPr="003D1063">
        <w:t xml:space="preserve">Safety Risk Management </w:t>
      </w:r>
      <w:r w:rsidR="00837701" w:rsidRPr="003D1063">
        <w:t>P</w:t>
      </w:r>
      <w:r w:rsidRPr="003D1063">
        <w:t>rocesses</w:t>
      </w:r>
      <w:bookmarkEnd w:id="24"/>
    </w:p>
    <w:p w14:paraId="4C6F64E8" w14:textId="37EC74E3" w:rsidR="00982B5C" w:rsidRPr="00982B5C" w:rsidRDefault="00982B5C" w:rsidP="003E382C">
      <w:pPr>
        <w:pStyle w:val="ListParagraph"/>
        <w:numPr>
          <w:ilvl w:val="0"/>
          <w:numId w:val="3"/>
        </w:numPr>
        <w:spacing w:before="0"/>
        <w:ind w:left="360" w:hanging="360"/>
        <w:rPr>
          <w:rFonts w:eastAsia="Verdana"/>
        </w:rPr>
      </w:pPr>
      <w:r w:rsidRPr="00982B5C">
        <w:rPr>
          <w:rFonts w:eastAsia="Verdana"/>
        </w:rPr>
        <w:t>Safety risk profiles can be developed when integrating VSRS information to safety risk management processes, using State, industry</w:t>
      </w:r>
      <w:r w:rsidR="0012286C">
        <w:rPr>
          <w:rFonts w:eastAsia="Verdana"/>
        </w:rPr>
        <w:t>,</w:t>
      </w:r>
      <w:r w:rsidRPr="00982B5C">
        <w:rPr>
          <w:rFonts w:eastAsia="Verdana"/>
        </w:rPr>
        <w:t xml:space="preserve"> and public sources. This can help States identify areas to prioritise.</w:t>
      </w:r>
    </w:p>
    <w:p w14:paraId="687F02C1" w14:textId="6FBB1468" w:rsidR="00982B5C" w:rsidRPr="003D1063" w:rsidRDefault="00982B5C" w:rsidP="003D1063">
      <w:pPr>
        <w:pStyle w:val="Heading2"/>
      </w:pPr>
      <w:bookmarkStart w:id="25" w:name="_Toc187919595"/>
      <w:r w:rsidRPr="003D1063">
        <w:t>Just Culture and Safety Culture Bodies</w:t>
      </w:r>
      <w:bookmarkEnd w:id="25"/>
    </w:p>
    <w:p w14:paraId="6B998439" w14:textId="054CF173" w:rsidR="00982B5C" w:rsidRPr="00982B5C" w:rsidRDefault="00982B5C" w:rsidP="003E382C">
      <w:pPr>
        <w:pStyle w:val="ListParagraph"/>
        <w:numPr>
          <w:ilvl w:val="0"/>
          <w:numId w:val="3"/>
        </w:numPr>
        <w:spacing w:before="0"/>
        <w:ind w:left="360" w:hanging="360"/>
        <w:rPr>
          <w:rFonts w:eastAsia="Verdana"/>
        </w:rPr>
      </w:pPr>
      <w:r w:rsidRPr="00982B5C">
        <w:rPr>
          <w:rFonts w:eastAsia="Verdana"/>
        </w:rPr>
        <w:t xml:space="preserve">In States where an independent Just and Safety Culture body is in place, the VSRS should interface with this body to ensure appropriate protection of reporters and application of </w:t>
      </w:r>
      <w:r w:rsidR="0081545A">
        <w:rPr>
          <w:rFonts w:eastAsia="Verdana"/>
        </w:rPr>
        <w:t>J</w:t>
      </w:r>
      <w:r w:rsidRPr="00982B5C">
        <w:rPr>
          <w:rFonts w:eastAsia="Verdana"/>
        </w:rPr>
        <w:t xml:space="preserve">ust </w:t>
      </w:r>
      <w:r w:rsidR="0081545A">
        <w:rPr>
          <w:rFonts w:eastAsia="Verdana"/>
        </w:rPr>
        <w:t>C</w:t>
      </w:r>
      <w:r w:rsidRPr="00982B5C">
        <w:rPr>
          <w:rFonts w:eastAsia="Verdana"/>
        </w:rPr>
        <w:t>ulture principles.</w:t>
      </w:r>
    </w:p>
    <w:p w14:paraId="7B725DF0" w14:textId="206F2288" w:rsidR="00982B5C" w:rsidRPr="003D1063" w:rsidRDefault="00982B5C" w:rsidP="003D1063">
      <w:pPr>
        <w:pStyle w:val="Heading2"/>
      </w:pPr>
      <w:bookmarkStart w:id="26" w:name="_Toc187919596"/>
      <w:r w:rsidRPr="003D1063">
        <w:t xml:space="preserve">Processing of </w:t>
      </w:r>
      <w:r w:rsidR="00837701" w:rsidRPr="003D1063">
        <w:t>R</w:t>
      </w:r>
      <w:r w:rsidRPr="003D1063">
        <w:t xml:space="preserve">eports </w:t>
      </w:r>
      <w:r w:rsidR="00837701" w:rsidRPr="003D1063">
        <w:t>T</w:t>
      </w:r>
      <w:r w:rsidRPr="003D1063">
        <w:t>hrough State or Government Channels</w:t>
      </w:r>
      <w:bookmarkEnd w:id="26"/>
    </w:p>
    <w:p w14:paraId="7E4016DE" w14:textId="387D2013" w:rsidR="00982B5C" w:rsidRPr="00982B5C" w:rsidRDefault="00982B5C" w:rsidP="003E382C">
      <w:pPr>
        <w:pStyle w:val="ListParagraph"/>
        <w:numPr>
          <w:ilvl w:val="0"/>
          <w:numId w:val="3"/>
        </w:numPr>
        <w:spacing w:before="0"/>
        <w:ind w:left="360" w:hanging="360"/>
        <w:rPr>
          <w:rFonts w:eastAsia="Verdana"/>
        </w:rPr>
      </w:pPr>
      <w:r w:rsidRPr="00982B5C">
        <w:rPr>
          <w:rFonts w:eastAsia="Verdana"/>
        </w:rPr>
        <w:t>To maintain and manage the integrity of the VSRS, the State may process reports categori</w:t>
      </w:r>
      <w:r w:rsidR="00940026">
        <w:rPr>
          <w:rFonts w:eastAsia="Verdana"/>
        </w:rPr>
        <w:t>s</w:t>
      </w:r>
      <w:r w:rsidRPr="00982B5C">
        <w:rPr>
          <w:rFonts w:eastAsia="Verdana"/>
        </w:rPr>
        <w:t>ed as unacceptable behaviours, such as willful violations and gross negligence, through additional internal or external instituted proceedings. For example, fraud could have individual or systemic safety implications such as cases where perso</w:t>
      </w:r>
      <w:r w:rsidRPr="00BA403A">
        <w:rPr>
          <w:rFonts w:eastAsia="Verdana"/>
          <w:color w:val="auto"/>
        </w:rPr>
        <w:t>ns or organi</w:t>
      </w:r>
      <w:r w:rsidR="000E3C6C" w:rsidRPr="00BA403A">
        <w:rPr>
          <w:rFonts w:eastAsia="Verdana"/>
          <w:color w:val="auto"/>
        </w:rPr>
        <w:t>s</w:t>
      </w:r>
      <w:r w:rsidRPr="00BA403A">
        <w:rPr>
          <w:rFonts w:eastAsia="Verdana"/>
          <w:color w:val="auto"/>
        </w:rPr>
        <w:t xml:space="preserve">ations provide false </w:t>
      </w:r>
      <w:r w:rsidR="003655A7" w:rsidRPr="00BA403A">
        <w:rPr>
          <w:rFonts w:eastAsia="Verdana"/>
          <w:color w:val="auto"/>
        </w:rPr>
        <w:t xml:space="preserve">information and/or </w:t>
      </w:r>
      <w:r w:rsidRPr="00BA403A">
        <w:rPr>
          <w:rFonts w:eastAsia="Verdana"/>
          <w:color w:val="auto"/>
        </w:rPr>
        <w:t>documents. Such reports should be defer</w:t>
      </w:r>
      <w:r w:rsidRPr="00982B5C">
        <w:rPr>
          <w:rFonts w:eastAsia="Verdana"/>
        </w:rPr>
        <w:t>red to the appropriate State or government channels.</w:t>
      </w:r>
    </w:p>
    <w:p w14:paraId="7BBA2EC4" w14:textId="030E1693" w:rsidR="00982B5C" w:rsidRPr="00982B5C" w:rsidRDefault="00982B5C" w:rsidP="003E382C">
      <w:pPr>
        <w:pStyle w:val="ListParagraph"/>
        <w:numPr>
          <w:ilvl w:val="0"/>
          <w:numId w:val="3"/>
        </w:numPr>
        <w:spacing w:before="0"/>
        <w:ind w:left="360" w:hanging="360"/>
        <w:rPr>
          <w:rFonts w:eastAsia="Verdana"/>
        </w:rPr>
      </w:pPr>
      <w:r w:rsidRPr="00982B5C">
        <w:rPr>
          <w:rFonts w:eastAsia="Verdana"/>
        </w:rPr>
        <w:t>Similarly, States may ensure that their aviation authorities and their competent authorities for the administration of justice cooperate with each other through administrative instruments or agreements.</w:t>
      </w:r>
    </w:p>
    <w:p w14:paraId="2F600149" w14:textId="2655F2FF" w:rsidR="00982B5C" w:rsidRPr="00982B5C" w:rsidRDefault="00982B5C" w:rsidP="003E382C">
      <w:pPr>
        <w:pStyle w:val="ListParagraph"/>
        <w:numPr>
          <w:ilvl w:val="0"/>
          <w:numId w:val="3"/>
        </w:numPr>
        <w:spacing w:before="0"/>
        <w:ind w:left="360" w:hanging="360"/>
        <w:rPr>
          <w:rFonts w:eastAsia="Verdana"/>
        </w:rPr>
      </w:pPr>
      <w:r w:rsidRPr="00982B5C">
        <w:rPr>
          <w:rFonts w:eastAsia="Verdana"/>
        </w:rPr>
        <w:lastRenderedPageBreak/>
        <w:t>These administrative instruments will seek to ensure the correct balance between the need for proper administration of justice, on the one hand, and the necessary continued availability of safety information, on the other.</w:t>
      </w:r>
    </w:p>
    <w:p w14:paraId="111E2D48" w14:textId="2487259F" w:rsidR="00982B5C" w:rsidRPr="003D1063" w:rsidRDefault="00982B5C" w:rsidP="003D1063">
      <w:pPr>
        <w:pStyle w:val="Heading2"/>
        <w:keepNext/>
      </w:pPr>
      <w:bookmarkStart w:id="27" w:name="_Toc187919597"/>
      <w:r w:rsidRPr="003D1063">
        <w:t>Accident Investigation Authority</w:t>
      </w:r>
      <w:bookmarkEnd w:id="27"/>
    </w:p>
    <w:p w14:paraId="4DBBDBE0" w14:textId="1F242F3A" w:rsidR="00982B5C" w:rsidRPr="00982B5C" w:rsidRDefault="00982B5C" w:rsidP="003E382C">
      <w:pPr>
        <w:pStyle w:val="ListParagraph"/>
        <w:keepNext/>
        <w:numPr>
          <w:ilvl w:val="0"/>
          <w:numId w:val="3"/>
        </w:numPr>
        <w:spacing w:before="0"/>
        <w:ind w:left="360" w:hanging="360"/>
        <w:rPr>
          <w:rFonts w:eastAsia="Verdana"/>
        </w:rPr>
      </w:pPr>
      <w:r w:rsidRPr="00982B5C">
        <w:rPr>
          <w:rFonts w:eastAsia="Verdana"/>
        </w:rPr>
        <w:t xml:space="preserve">The investigation of Annex 13 accidents and serious incidents is the responsibility of an independent Safety Investigation Authority. The term </w:t>
      </w:r>
      <w:r w:rsidR="00B66CEE">
        <w:rPr>
          <w:rFonts w:eastAsia="Verdana"/>
        </w:rPr>
        <w:t>“</w:t>
      </w:r>
      <w:r w:rsidRPr="00982B5C">
        <w:rPr>
          <w:rFonts w:eastAsia="Verdana"/>
        </w:rPr>
        <w:t>occurrence</w:t>
      </w:r>
      <w:r w:rsidR="00B66CEE">
        <w:rPr>
          <w:rFonts w:eastAsia="Verdana"/>
        </w:rPr>
        <w:t>”</w:t>
      </w:r>
      <w:r w:rsidRPr="00982B5C">
        <w:rPr>
          <w:rFonts w:eastAsia="Verdana"/>
        </w:rPr>
        <w:t xml:space="preserve"> as used in the Occurrence Reporting System therefore includes accidents, serious incidents</w:t>
      </w:r>
      <w:r w:rsidR="00B66CEE">
        <w:rPr>
          <w:rFonts w:eastAsia="Verdana"/>
        </w:rPr>
        <w:t>,</w:t>
      </w:r>
      <w:r w:rsidRPr="00982B5C">
        <w:rPr>
          <w:rFonts w:eastAsia="Verdana"/>
        </w:rPr>
        <w:t xml:space="preserve"> and other incidents.</w:t>
      </w:r>
    </w:p>
    <w:p w14:paraId="7D108768" w14:textId="7F21BDDF" w:rsidR="00982B5C" w:rsidRPr="00982B5C" w:rsidRDefault="00982B5C" w:rsidP="003E382C">
      <w:pPr>
        <w:pStyle w:val="ListParagraph"/>
        <w:numPr>
          <w:ilvl w:val="0"/>
          <w:numId w:val="3"/>
        </w:numPr>
        <w:spacing w:before="0"/>
        <w:ind w:left="360" w:hanging="360"/>
        <w:rPr>
          <w:rFonts w:eastAsia="Verdana"/>
        </w:rPr>
      </w:pPr>
      <w:r w:rsidRPr="00982B5C">
        <w:rPr>
          <w:rFonts w:eastAsia="Verdana"/>
        </w:rPr>
        <w:t xml:space="preserve">Close liaison is needed between the </w:t>
      </w:r>
      <w:r w:rsidR="00B66CEE">
        <w:rPr>
          <w:rFonts w:eastAsia="Verdana"/>
        </w:rPr>
        <w:t>a</w:t>
      </w:r>
      <w:r w:rsidRPr="00982B5C">
        <w:rPr>
          <w:rFonts w:eastAsia="Verdana"/>
        </w:rPr>
        <w:t xml:space="preserve">uthority competent </w:t>
      </w:r>
      <w:r w:rsidR="00E92118">
        <w:rPr>
          <w:rFonts w:eastAsia="Verdana"/>
        </w:rPr>
        <w:t xml:space="preserve">for </w:t>
      </w:r>
      <w:r w:rsidRPr="00982B5C">
        <w:rPr>
          <w:rFonts w:eastAsia="Verdana"/>
        </w:rPr>
        <w:t>occurrence reporting and the Safety Investigation Authority for the State. Interface arrangements may be subject to a memorandum of understanding between the two authorities.</w:t>
      </w:r>
    </w:p>
    <w:p w14:paraId="3C02767E" w14:textId="312E60D5" w:rsidR="00F42AF8" w:rsidRPr="00424631" w:rsidRDefault="00CC4527" w:rsidP="002F71C5">
      <w:pPr>
        <w:pStyle w:val="Heading1"/>
      </w:pPr>
      <w:bookmarkStart w:id="28" w:name="_Toc187919598"/>
      <w:bookmarkStart w:id="29" w:name="_Hlk136597873"/>
      <w:bookmarkEnd w:id="22"/>
      <w:r>
        <w:t>VSRS</w:t>
      </w:r>
      <w:r w:rsidR="00982B5C" w:rsidRPr="00982B5C">
        <w:t xml:space="preserve"> Key Principles, Best Practices/Lessons Learned</w:t>
      </w:r>
      <w:bookmarkEnd w:id="28"/>
    </w:p>
    <w:bookmarkEnd w:id="29"/>
    <w:p w14:paraId="3245FB1B" w14:textId="4A5EDDEB" w:rsidR="00982B5C" w:rsidRDefault="00982B5C" w:rsidP="00982B5C">
      <w:r w:rsidRPr="00982B5C">
        <w:t>The following are the key principles of an effective VSRS. Included in this section are the best practices/lessons learned that relate to the key principles. These items should be considered when establishing a State</w:t>
      </w:r>
      <w:r w:rsidR="00B66CEE">
        <w:t>-</w:t>
      </w:r>
      <w:r w:rsidRPr="00982B5C">
        <w:t>level VSRS</w:t>
      </w:r>
      <w:r w:rsidR="00B66CEE">
        <w:t>.</w:t>
      </w:r>
    </w:p>
    <w:p w14:paraId="11F2FA8B" w14:textId="5CA25974" w:rsidR="004D39C6" w:rsidRPr="000063A4" w:rsidRDefault="00982B5C" w:rsidP="00471E2B">
      <w:pPr>
        <w:pStyle w:val="Heading2"/>
      </w:pPr>
      <w:bookmarkStart w:id="30" w:name="_Toc187919599"/>
      <w:r w:rsidRPr="000063A4">
        <w:t>Confidentiality and Trust</w:t>
      </w:r>
      <w:bookmarkEnd w:id="30"/>
    </w:p>
    <w:p w14:paraId="76BE45BF" w14:textId="0E1D2A84" w:rsidR="00982B5C" w:rsidRPr="00982B5C" w:rsidRDefault="00982B5C" w:rsidP="000063A4">
      <w:r w:rsidRPr="00982B5C">
        <w:t>Reporters must be certain that their identity is protected</w:t>
      </w:r>
      <w:r w:rsidR="00243467">
        <w:t>,</w:t>
      </w:r>
      <w:r w:rsidRPr="00982B5C">
        <w:t xml:space="preserve"> and that information will not be used against them; otherwise, they will be reluctant to report their mistakes.</w:t>
      </w:r>
    </w:p>
    <w:p w14:paraId="7C869E74" w14:textId="36ECAB66" w:rsidR="00982B5C" w:rsidRPr="00982B5C" w:rsidRDefault="00982B5C" w:rsidP="000063A4">
      <w:r w:rsidRPr="00982B5C">
        <w:t xml:space="preserve">The VSRS process should enable trust </w:t>
      </w:r>
      <w:r w:rsidRPr="00BA403A">
        <w:rPr>
          <w:color w:val="auto"/>
        </w:rPr>
        <w:t>by providing anonymity, particularly where legislation does not protect the confidentiality of the reporters</w:t>
      </w:r>
      <w:r w:rsidR="00FD3E7C" w:rsidRPr="00BA403A">
        <w:rPr>
          <w:color w:val="auto"/>
        </w:rPr>
        <w:t>’ identities</w:t>
      </w:r>
      <w:r w:rsidR="00C065E9" w:rsidRPr="00BA403A">
        <w:rPr>
          <w:color w:val="auto"/>
        </w:rPr>
        <w:t>.</w:t>
      </w:r>
    </w:p>
    <w:p w14:paraId="011074D7" w14:textId="77777777" w:rsidR="00982B5C" w:rsidRPr="000063A4" w:rsidRDefault="00982B5C" w:rsidP="00471E2B">
      <w:pPr>
        <w:pStyle w:val="Heading3"/>
      </w:pPr>
      <w:r w:rsidRPr="000063A4">
        <w:t>Best Practices/Lessons Learned:</w:t>
      </w:r>
    </w:p>
    <w:p w14:paraId="6F5F1F3D" w14:textId="0FF4B62A" w:rsidR="00982B5C" w:rsidRPr="000063A4" w:rsidRDefault="00982B5C" w:rsidP="003E382C">
      <w:pPr>
        <w:pStyle w:val="ListParagraph"/>
        <w:numPr>
          <w:ilvl w:val="0"/>
          <w:numId w:val="4"/>
        </w:numPr>
        <w:spacing w:before="0" w:after="0"/>
        <w:ind w:left="360" w:hanging="360"/>
        <w:rPr>
          <w:rFonts w:eastAsia="Verdana"/>
        </w:rPr>
      </w:pPr>
      <w:r w:rsidRPr="00982B5C">
        <w:t>Systematic</w:t>
      </w:r>
      <w:r w:rsidRPr="000063A4">
        <w:rPr>
          <w:rFonts w:eastAsia="Verdana"/>
        </w:rPr>
        <w:t>ally de-identify confidential reports.</w:t>
      </w:r>
    </w:p>
    <w:p w14:paraId="2F3E5DC6" w14:textId="63B27B14" w:rsidR="00982B5C" w:rsidRPr="000063A4" w:rsidRDefault="00982B5C" w:rsidP="003E382C">
      <w:pPr>
        <w:pStyle w:val="ListParagraph"/>
        <w:numPr>
          <w:ilvl w:val="0"/>
          <w:numId w:val="4"/>
        </w:numPr>
        <w:spacing w:before="0" w:after="0"/>
        <w:ind w:left="360" w:hanging="360"/>
        <w:rPr>
          <w:rFonts w:eastAsia="Verdana"/>
        </w:rPr>
      </w:pPr>
      <w:r w:rsidRPr="000063A4">
        <w:rPr>
          <w:rFonts w:eastAsia="Verdana"/>
        </w:rPr>
        <w:t>Take into account national rules on freedom of information and personal data protection to ensure reporters</w:t>
      </w:r>
      <w:r w:rsidR="00243467">
        <w:rPr>
          <w:rFonts w:eastAsia="Verdana"/>
        </w:rPr>
        <w:t>’</w:t>
      </w:r>
      <w:r w:rsidRPr="000063A4">
        <w:rPr>
          <w:rFonts w:eastAsia="Verdana"/>
        </w:rPr>
        <w:t xml:space="preserve"> protection.</w:t>
      </w:r>
    </w:p>
    <w:p w14:paraId="06A048A1" w14:textId="1E10C1EB" w:rsidR="00982B5C" w:rsidRPr="000063A4" w:rsidRDefault="00982B5C" w:rsidP="003E382C">
      <w:pPr>
        <w:pStyle w:val="ListParagraph"/>
        <w:numPr>
          <w:ilvl w:val="0"/>
          <w:numId w:val="4"/>
        </w:numPr>
        <w:spacing w:before="0" w:after="0"/>
        <w:ind w:left="360" w:hanging="360"/>
        <w:rPr>
          <w:rFonts w:eastAsia="Verdana"/>
        </w:rPr>
      </w:pPr>
      <w:r w:rsidRPr="000063A4">
        <w:rPr>
          <w:rFonts w:eastAsia="Verdana"/>
        </w:rPr>
        <w:t xml:space="preserve">Communicate the confidential aspect of the reporting system to foster trust and </w:t>
      </w:r>
      <w:r w:rsidR="00243467">
        <w:rPr>
          <w:rFonts w:eastAsia="Verdana"/>
        </w:rPr>
        <w:t xml:space="preserve">a </w:t>
      </w:r>
      <w:r w:rsidRPr="000063A4">
        <w:rPr>
          <w:rFonts w:eastAsia="Verdana"/>
        </w:rPr>
        <w:t>positive safety culture.</w:t>
      </w:r>
    </w:p>
    <w:p w14:paraId="4E0EF7D8" w14:textId="645860AA" w:rsidR="00982B5C" w:rsidRPr="000063A4" w:rsidRDefault="00982B5C" w:rsidP="003E382C">
      <w:pPr>
        <w:pStyle w:val="ListParagraph"/>
        <w:numPr>
          <w:ilvl w:val="0"/>
          <w:numId w:val="4"/>
        </w:numPr>
        <w:spacing w:before="0" w:after="0"/>
        <w:ind w:left="360" w:hanging="360"/>
        <w:rPr>
          <w:rFonts w:eastAsia="Verdana"/>
        </w:rPr>
      </w:pPr>
      <w:r w:rsidRPr="000063A4">
        <w:rPr>
          <w:rFonts w:eastAsia="Verdana"/>
        </w:rPr>
        <w:t>Offe</w:t>
      </w:r>
      <w:r w:rsidRPr="00BA403A">
        <w:rPr>
          <w:rFonts w:eastAsia="Verdana"/>
          <w:color w:val="auto"/>
        </w:rPr>
        <w:t xml:space="preserve">r </w:t>
      </w:r>
      <w:r w:rsidR="00C02E10" w:rsidRPr="00BA403A">
        <w:rPr>
          <w:rFonts w:eastAsia="Verdana"/>
          <w:color w:val="auto"/>
        </w:rPr>
        <w:t xml:space="preserve">the option of </w:t>
      </w:r>
      <w:r w:rsidRPr="00BA403A">
        <w:rPr>
          <w:rFonts w:eastAsia="Verdana"/>
          <w:color w:val="auto"/>
        </w:rPr>
        <w:t>anonymous rep</w:t>
      </w:r>
      <w:r w:rsidRPr="000063A4">
        <w:rPr>
          <w:rFonts w:eastAsia="Verdana"/>
        </w:rPr>
        <w:t>orting</w:t>
      </w:r>
      <w:r w:rsidR="000063A4">
        <w:rPr>
          <w:rFonts w:eastAsia="Verdana"/>
        </w:rPr>
        <w:t>.</w:t>
      </w:r>
    </w:p>
    <w:p w14:paraId="20DE7146" w14:textId="03EC1902" w:rsidR="00982B5C" w:rsidRDefault="00982B5C" w:rsidP="003E382C">
      <w:pPr>
        <w:pStyle w:val="ListParagraph"/>
        <w:numPr>
          <w:ilvl w:val="0"/>
          <w:numId w:val="4"/>
        </w:numPr>
        <w:spacing w:before="0"/>
        <w:ind w:left="360" w:hanging="360"/>
      </w:pPr>
      <w:r w:rsidRPr="000063A4">
        <w:rPr>
          <w:rFonts w:eastAsia="Verdana"/>
        </w:rPr>
        <w:t xml:space="preserve">Protect reporter by </w:t>
      </w:r>
      <w:r w:rsidRPr="00982B5C">
        <w:t>limiting access to the system.</w:t>
      </w:r>
    </w:p>
    <w:p w14:paraId="2F524621" w14:textId="033BB7AA" w:rsidR="000063A4" w:rsidRDefault="000063A4" w:rsidP="00471E2B">
      <w:pPr>
        <w:pStyle w:val="Heading2"/>
      </w:pPr>
      <w:bookmarkStart w:id="31" w:name="_Toc187919600"/>
      <w:r w:rsidRPr="000063A4">
        <w:t>Non-</w:t>
      </w:r>
      <w:r>
        <w:t>P</w:t>
      </w:r>
      <w:r w:rsidRPr="000063A4">
        <w:t>unitive Reporting</w:t>
      </w:r>
      <w:bookmarkEnd w:id="31"/>
    </w:p>
    <w:p w14:paraId="71EB42A4" w14:textId="138823E4" w:rsidR="000063A4" w:rsidRDefault="000063A4" w:rsidP="000063A4">
      <w:r>
        <w:t>The reporter must be protected against legal, administrative</w:t>
      </w:r>
      <w:r w:rsidR="00243467">
        <w:t>,</w:t>
      </w:r>
      <w:r>
        <w:t xml:space="preserve"> or disciplinary sanctions, except in case of gross negligence, willful violations, or criminal activity.</w:t>
      </w:r>
    </w:p>
    <w:p w14:paraId="6B2B025E" w14:textId="59D1385D" w:rsidR="000063A4" w:rsidRPr="000063A4" w:rsidRDefault="000063A4" w:rsidP="00471E2B">
      <w:pPr>
        <w:pStyle w:val="Heading3"/>
      </w:pPr>
      <w:r w:rsidRPr="000063A4">
        <w:t>Best Practices/Lessons Learned:</w:t>
      </w:r>
    </w:p>
    <w:p w14:paraId="6C06B5E6" w14:textId="7C7459D9" w:rsidR="000063A4" w:rsidRDefault="000063A4" w:rsidP="003E382C">
      <w:pPr>
        <w:pStyle w:val="ListParagraph"/>
        <w:numPr>
          <w:ilvl w:val="0"/>
          <w:numId w:val="4"/>
        </w:numPr>
        <w:spacing w:before="0" w:after="0"/>
        <w:ind w:left="360" w:hanging="360"/>
      </w:pPr>
      <w:r>
        <w:t>Ensure that the VSRS is appropriately non-punitive in nature.</w:t>
      </w:r>
    </w:p>
    <w:p w14:paraId="587D2C2B" w14:textId="3D1FE293" w:rsidR="000063A4" w:rsidRDefault="000063A4" w:rsidP="003E382C">
      <w:pPr>
        <w:pStyle w:val="ListParagraph"/>
        <w:numPr>
          <w:ilvl w:val="0"/>
          <w:numId w:val="4"/>
        </w:numPr>
        <w:spacing w:before="0" w:after="0"/>
        <w:ind w:left="360" w:hanging="360"/>
      </w:pPr>
      <w:r>
        <w:t>VSRS should enable reporting of hazards and self-made errors without retribution.</w:t>
      </w:r>
    </w:p>
    <w:p w14:paraId="551451F3" w14:textId="4B775AC5" w:rsidR="000063A4" w:rsidRDefault="000063A4" w:rsidP="003E382C">
      <w:pPr>
        <w:pStyle w:val="ListParagraph"/>
        <w:numPr>
          <w:ilvl w:val="0"/>
          <w:numId w:val="4"/>
        </w:numPr>
        <w:spacing w:before="0" w:after="0"/>
        <w:ind w:left="360" w:hanging="360"/>
      </w:pPr>
      <w:r>
        <w:t>Design barriers in the system to mitigate the potential to pursue disciplinary action.</w:t>
      </w:r>
    </w:p>
    <w:p w14:paraId="0798B970" w14:textId="069A6E7A" w:rsidR="000063A4" w:rsidRDefault="000063A4" w:rsidP="003E382C">
      <w:pPr>
        <w:pStyle w:val="ListParagraph"/>
        <w:numPr>
          <w:ilvl w:val="0"/>
          <w:numId w:val="4"/>
        </w:numPr>
        <w:spacing w:before="0" w:after="0"/>
        <w:ind w:left="360" w:hanging="360"/>
      </w:pPr>
      <w:r>
        <w:t xml:space="preserve">Ensure that the VSRS process </w:t>
      </w:r>
      <w:r w:rsidR="00243467">
        <w:t>can</w:t>
      </w:r>
      <w:r>
        <w:t xml:space="preserve"> delineate gross negligence, willful misconduct</w:t>
      </w:r>
      <w:r w:rsidR="00243467">
        <w:t>,</w:t>
      </w:r>
      <w:r>
        <w:t xml:space="preserve"> or criminal activity from non-punitive errors and violations.</w:t>
      </w:r>
    </w:p>
    <w:p w14:paraId="5CC9F54E" w14:textId="19CBDD41" w:rsidR="007A53F6" w:rsidRPr="00BA403A" w:rsidRDefault="002F6BB1" w:rsidP="007A53F6">
      <w:pPr>
        <w:pStyle w:val="ListParagraph"/>
        <w:numPr>
          <w:ilvl w:val="0"/>
          <w:numId w:val="4"/>
        </w:numPr>
        <w:spacing w:before="0" w:after="0"/>
        <w:ind w:left="360" w:hanging="360"/>
        <w:rPr>
          <w:color w:val="auto"/>
        </w:rPr>
      </w:pPr>
      <w:r w:rsidRPr="00BA403A">
        <w:rPr>
          <w:color w:val="auto"/>
        </w:rPr>
        <w:lastRenderedPageBreak/>
        <w:t xml:space="preserve">Explain </w:t>
      </w:r>
      <w:r w:rsidR="00BA403A">
        <w:rPr>
          <w:color w:val="auto"/>
        </w:rPr>
        <w:t xml:space="preserve">that </w:t>
      </w:r>
      <w:r w:rsidRPr="00BA403A">
        <w:rPr>
          <w:color w:val="auto"/>
        </w:rPr>
        <w:t>cases</w:t>
      </w:r>
      <w:r w:rsidR="007A53F6" w:rsidRPr="00BA403A">
        <w:rPr>
          <w:color w:val="auto"/>
        </w:rPr>
        <w:t xml:space="preserve"> of unacceptable behaviour will not be subject to protection</w:t>
      </w:r>
      <w:r w:rsidR="00C90758">
        <w:rPr>
          <w:color w:val="auto"/>
        </w:rPr>
        <w:t xml:space="preserve"> of</w:t>
      </w:r>
      <w:r w:rsidR="00A404CC" w:rsidRPr="00BA403A">
        <w:rPr>
          <w:color w:val="auto"/>
        </w:rPr>
        <w:t xml:space="preserve"> consequences </w:t>
      </w:r>
      <w:r w:rsidR="00C90758">
        <w:rPr>
          <w:color w:val="auto"/>
        </w:rPr>
        <w:t>if</w:t>
      </w:r>
      <w:r w:rsidR="00A404CC" w:rsidRPr="00BA403A">
        <w:rPr>
          <w:color w:val="auto"/>
        </w:rPr>
        <w:t xml:space="preserve"> false information </w:t>
      </w:r>
      <w:r w:rsidR="00C90758">
        <w:rPr>
          <w:color w:val="auto"/>
        </w:rPr>
        <w:t>or</w:t>
      </w:r>
      <w:r w:rsidR="00A404CC" w:rsidRPr="00BA403A">
        <w:rPr>
          <w:color w:val="auto"/>
        </w:rPr>
        <w:t xml:space="preserve"> documents are submitted (especially with the intent to mislead the authority or damage reputation)</w:t>
      </w:r>
      <w:r w:rsidR="007A53F6" w:rsidRPr="00BA403A">
        <w:rPr>
          <w:color w:val="auto"/>
        </w:rPr>
        <w:t>.</w:t>
      </w:r>
    </w:p>
    <w:p w14:paraId="090EAF38" w14:textId="6D8CFFE1" w:rsidR="000063A4" w:rsidRDefault="000063A4" w:rsidP="003E382C">
      <w:pPr>
        <w:pStyle w:val="ListParagraph"/>
        <w:numPr>
          <w:ilvl w:val="0"/>
          <w:numId w:val="4"/>
        </w:numPr>
        <w:spacing w:before="0" w:after="0"/>
        <w:ind w:left="360" w:hanging="360"/>
      </w:pPr>
      <w:r>
        <w:t>Design controls within the VSRS process describing circumstances under which a report may be redirected from the system.</w:t>
      </w:r>
    </w:p>
    <w:p w14:paraId="1364AD4C" w14:textId="21F0AFCB" w:rsidR="000063A4" w:rsidRDefault="000063A4" w:rsidP="003E382C">
      <w:pPr>
        <w:pStyle w:val="ListParagraph"/>
        <w:numPr>
          <w:ilvl w:val="0"/>
          <w:numId w:val="4"/>
        </w:numPr>
        <w:spacing w:before="0"/>
        <w:ind w:left="360" w:hanging="360"/>
      </w:pPr>
      <w:r>
        <w:t>Explain and promote the program’s intent</w:t>
      </w:r>
      <w:r w:rsidR="00243467">
        <w:t xml:space="preserve"> and</w:t>
      </w:r>
      <w:r>
        <w:t xml:space="preserve"> the reporting process</w:t>
      </w:r>
      <w:r w:rsidR="00243467">
        <w:t>;</w:t>
      </w:r>
      <w:r>
        <w:t xml:space="preserve"> stress the importance of non-punitive reporting to all stakeholders.</w:t>
      </w:r>
    </w:p>
    <w:p w14:paraId="1858E7B2" w14:textId="5C778AE9" w:rsidR="000063A4" w:rsidRDefault="000063A4" w:rsidP="00471E2B">
      <w:pPr>
        <w:pStyle w:val="Heading2"/>
      </w:pPr>
      <w:bookmarkStart w:id="32" w:name="_Toc187919601"/>
      <w:r>
        <w:t>Accessible Reporting</w:t>
      </w:r>
      <w:bookmarkEnd w:id="32"/>
    </w:p>
    <w:p w14:paraId="6C84F864" w14:textId="27639A4F" w:rsidR="000063A4" w:rsidRDefault="000063A4" w:rsidP="000063A4">
      <w:r>
        <w:t xml:space="preserve">The systematic approach to safety management at </w:t>
      </w:r>
      <w:r w:rsidR="00243467">
        <w:t xml:space="preserve">the </w:t>
      </w:r>
      <w:r>
        <w:t>State level requires that voluntary reporting be targeted at all sectors of aviation, including those without SMS, and to members of the public.</w:t>
      </w:r>
    </w:p>
    <w:p w14:paraId="2F8CC914" w14:textId="33239EA5" w:rsidR="000063A4" w:rsidRPr="000063A4" w:rsidRDefault="000063A4" w:rsidP="00471E2B">
      <w:pPr>
        <w:pStyle w:val="Heading3"/>
      </w:pPr>
      <w:r w:rsidRPr="000063A4">
        <w:t>Best Practices/Lessons Learned:</w:t>
      </w:r>
    </w:p>
    <w:p w14:paraId="50391BDA" w14:textId="21704953"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Where possible, collect information on the same occurrence from different perspectives or reporting systems, both voluntary and mandatory</w:t>
      </w:r>
      <w:r w:rsidR="00BC0168">
        <w:rPr>
          <w:rFonts w:eastAsia="Verdana"/>
        </w:rPr>
        <w:t>,</w:t>
      </w:r>
      <w:r w:rsidRPr="000063A4">
        <w:rPr>
          <w:rFonts w:eastAsia="Verdana"/>
        </w:rPr>
        <w:t xml:space="preserve"> to provide for a complete analysis and understanding of events, enabling data-driven decision making.</w:t>
      </w:r>
    </w:p>
    <w:p w14:paraId="05770D4A" w14:textId="363EEF98"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To the best extent possible, automate the process to match reports on the same occurrence from multiple sources.</w:t>
      </w:r>
    </w:p>
    <w:p w14:paraId="4345951E" w14:textId="7889E087" w:rsidR="000063A4" w:rsidRDefault="000063A4" w:rsidP="00471E2B">
      <w:pPr>
        <w:pStyle w:val="Heading2"/>
      </w:pPr>
      <w:bookmarkStart w:id="33" w:name="_Toc187919602"/>
      <w:r>
        <w:t>Ease of Reporting</w:t>
      </w:r>
      <w:bookmarkEnd w:id="33"/>
    </w:p>
    <w:p w14:paraId="5F767371" w14:textId="6BB9B91C" w:rsidR="000063A4" w:rsidRDefault="000063A4" w:rsidP="000063A4">
      <w:r>
        <w:t>Submitting a report should be as easy as possible for the reporter. The reporting forms or reporting system should be readily available to anyone wishing to file a report.</w:t>
      </w:r>
    </w:p>
    <w:p w14:paraId="470AD470" w14:textId="61E99A4C" w:rsidR="000063A4" w:rsidRPr="000063A4" w:rsidRDefault="000063A4" w:rsidP="00471E2B">
      <w:pPr>
        <w:pStyle w:val="Heading3"/>
      </w:pPr>
      <w:r w:rsidRPr="000063A4">
        <w:t>Best Practices/Lessons Learned:</w:t>
      </w:r>
    </w:p>
    <w:p w14:paraId="6055F342" w14:textId="75980FBF"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Reports should be easy to complete, provide adequate space for narrative</w:t>
      </w:r>
      <w:r w:rsidR="00BC0168">
        <w:rPr>
          <w:rFonts w:eastAsia="Verdana"/>
        </w:rPr>
        <w:t>,</w:t>
      </w:r>
      <w:r w:rsidRPr="000063A4">
        <w:rPr>
          <w:rFonts w:eastAsia="Verdana"/>
        </w:rPr>
        <w:t xml:space="preserve"> and make maximum use of pre-filled selections.</w:t>
      </w:r>
    </w:p>
    <w:p w14:paraId="5C621200" w14:textId="2610A99A"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 xml:space="preserve">The forms or reporting system should encourage safety improvement suggestions, such as how to mitigate </w:t>
      </w:r>
      <w:r w:rsidR="00BC0168">
        <w:rPr>
          <w:rFonts w:eastAsia="Verdana"/>
        </w:rPr>
        <w:t>the issue</w:t>
      </w:r>
      <w:r w:rsidRPr="000063A4">
        <w:rPr>
          <w:rFonts w:eastAsia="Verdana"/>
        </w:rPr>
        <w:t>.</w:t>
      </w:r>
    </w:p>
    <w:p w14:paraId="39B06EBB" w14:textId="09CAA711" w:rsidR="000063A4" w:rsidRDefault="000063A4" w:rsidP="003E382C">
      <w:pPr>
        <w:pStyle w:val="ListParagraph"/>
        <w:numPr>
          <w:ilvl w:val="0"/>
          <w:numId w:val="4"/>
        </w:numPr>
        <w:spacing w:before="0" w:after="0"/>
        <w:ind w:left="360" w:hanging="360"/>
        <w:rPr>
          <w:rFonts w:eastAsia="Verdana"/>
        </w:rPr>
      </w:pPr>
      <w:r w:rsidRPr="000063A4">
        <w:rPr>
          <w:rFonts w:eastAsia="Verdana"/>
        </w:rPr>
        <w:t>Enable various reporting formats (e.g.</w:t>
      </w:r>
      <w:r w:rsidR="00BC0168">
        <w:rPr>
          <w:rFonts w:eastAsia="Verdana"/>
        </w:rPr>
        <w:t>,</w:t>
      </w:r>
      <w:r w:rsidRPr="000063A4">
        <w:rPr>
          <w:rFonts w:eastAsia="Verdana"/>
        </w:rPr>
        <w:t xml:space="preserve"> online and online forms, paper reporting forms</w:t>
      </w:r>
      <w:r w:rsidR="00193219">
        <w:rPr>
          <w:rFonts w:eastAsia="Verdana"/>
        </w:rPr>
        <w:t>, e-mail contact</w:t>
      </w:r>
      <w:r w:rsidRPr="000063A4">
        <w:rPr>
          <w:rFonts w:eastAsia="Verdana"/>
        </w:rPr>
        <w:t>)</w:t>
      </w:r>
      <w:r w:rsidR="00BC0168">
        <w:rPr>
          <w:rFonts w:eastAsia="Verdana"/>
        </w:rPr>
        <w:t>.</w:t>
      </w:r>
    </w:p>
    <w:p w14:paraId="14E6E31A" w14:textId="77777777" w:rsidR="0050045F" w:rsidRPr="00C90758" w:rsidRDefault="0050045F" w:rsidP="0050045F">
      <w:pPr>
        <w:pStyle w:val="ListParagraph"/>
        <w:numPr>
          <w:ilvl w:val="0"/>
          <w:numId w:val="4"/>
        </w:numPr>
        <w:spacing w:before="0" w:after="0"/>
        <w:ind w:left="360" w:hanging="360"/>
        <w:rPr>
          <w:rFonts w:eastAsia="Verdana"/>
          <w:color w:val="auto"/>
        </w:rPr>
      </w:pPr>
      <w:r w:rsidRPr="00C90758">
        <w:rPr>
          <w:rFonts w:eastAsia="Verdana"/>
          <w:color w:val="auto"/>
        </w:rPr>
        <w:t>Enable uploading of media including video and audio files.</w:t>
      </w:r>
    </w:p>
    <w:p w14:paraId="07D6AA18" w14:textId="4DD90E69" w:rsidR="00C61D67" w:rsidRPr="00C90758" w:rsidRDefault="00C61D67" w:rsidP="0050045F">
      <w:pPr>
        <w:pStyle w:val="ListParagraph"/>
        <w:numPr>
          <w:ilvl w:val="0"/>
          <w:numId w:val="4"/>
        </w:numPr>
        <w:spacing w:before="0" w:after="0"/>
        <w:ind w:left="360" w:hanging="360"/>
        <w:rPr>
          <w:rFonts w:eastAsia="Verdana"/>
          <w:color w:val="auto"/>
        </w:rPr>
      </w:pPr>
      <w:r w:rsidRPr="00C90758">
        <w:rPr>
          <w:rFonts w:eastAsia="Verdana"/>
          <w:color w:val="auto"/>
        </w:rPr>
        <w:t xml:space="preserve">Ease of reporting </w:t>
      </w:r>
      <w:r w:rsidR="008346C6" w:rsidRPr="00C90758">
        <w:rPr>
          <w:rFonts w:eastAsia="Verdana"/>
          <w:color w:val="auto"/>
        </w:rPr>
        <w:t>and using accessible media platforms would</w:t>
      </w:r>
      <w:r w:rsidRPr="00C90758">
        <w:rPr>
          <w:rFonts w:eastAsia="Verdana"/>
          <w:color w:val="auto"/>
        </w:rPr>
        <w:t xml:space="preserve"> certainly increase </w:t>
      </w:r>
      <w:r w:rsidR="009D00F3" w:rsidRPr="00C90758">
        <w:rPr>
          <w:rFonts w:eastAsia="Verdana"/>
          <w:color w:val="auto"/>
        </w:rPr>
        <w:t>reporting</w:t>
      </w:r>
      <w:r w:rsidR="00C90758" w:rsidRPr="00C90758">
        <w:rPr>
          <w:rFonts w:eastAsia="Verdana"/>
          <w:color w:val="auto"/>
        </w:rPr>
        <w:t>,</w:t>
      </w:r>
      <w:r w:rsidR="009D00F3" w:rsidRPr="00C90758">
        <w:rPr>
          <w:rFonts w:eastAsia="Verdana"/>
          <w:color w:val="auto"/>
        </w:rPr>
        <w:t xml:space="preserve"> however</w:t>
      </w:r>
      <w:r w:rsidR="00C90758" w:rsidRPr="00C90758">
        <w:rPr>
          <w:rFonts w:eastAsia="Verdana"/>
          <w:color w:val="auto"/>
        </w:rPr>
        <w:t>,</w:t>
      </w:r>
      <w:r w:rsidR="009D00F3" w:rsidRPr="00C90758">
        <w:rPr>
          <w:rFonts w:eastAsia="Verdana"/>
          <w:color w:val="auto"/>
        </w:rPr>
        <w:t xml:space="preserve"> </w:t>
      </w:r>
      <w:r w:rsidR="007004AD" w:rsidRPr="00C90758">
        <w:rPr>
          <w:rFonts w:eastAsia="Verdana"/>
          <w:color w:val="auto"/>
        </w:rPr>
        <w:t xml:space="preserve">organizations </w:t>
      </w:r>
      <w:r w:rsidR="009C0215" w:rsidRPr="00C90758">
        <w:rPr>
          <w:rFonts w:eastAsia="Verdana"/>
          <w:color w:val="auto"/>
        </w:rPr>
        <w:t>should</w:t>
      </w:r>
      <w:r w:rsidR="007004AD" w:rsidRPr="00C90758">
        <w:rPr>
          <w:rFonts w:eastAsia="Verdana"/>
          <w:color w:val="auto"/>
        </w:rPr>
        <w:t xml:space="preserve"> be mindful that </w:t>
      </w:r>
      <w:r w:rsidRPr="00C90758">
        <w:rPr>
          <w:rFonts w:eastAsia="Verdana"/>
          <w:color w:val="auto"/>
        </w:rPr>
        <w:t>the data transmitted via these platforms may be accessible by the providers of these services</w:t>
      </w:r>
      <w:r w:rsidR="00FE65B2" w:rsidRPr="00C90758">
        <w:rPr>
          <w:rFonts w:eastAsia="Verdana"/>
          <w:color w:val="auto"/>
        </w:rPr>
        <w:t xml:space="preserve"> </w:t>
      </w:r>
      <w:r w:rsidR="00C5026F" w:rsidRPr="00C90758">
        <w:rPr>
          <w:rFonts w:eastAsia="Verdana"/>
          <w:color w:val="auto"/>
        </w:rPr>
        <w:t>if</w:t>
      </w:r>
      <w:r w:rsidR="00FE65B2" w:rsidRPr="00C90758">
        <w:rPr>
          <w:rFonts w:eastAsia="Verdana"/>
          <w:color w:val="auto"/>
        </w:rPr>
        <w:t xml:space="preserve"> protections are not </w:t>
      </w:r>
      <w:r w:rsidR="00C5026F" w:rsidRPr="00C90758">
        <w:rPr>
          <w:rFonts w:eastAsia="Verdana"/>
          <w:color w:val="auto"/>
        </w:rPr>
        <w:t>in place</w:t>
      </w:r>
      <w:r w:rsidRPr="00C90758">
        <w:rPr>
          <w:rFonts w:eastAsia="Verdana"/>
          <w:color w:val="auto"/>
        </w:rPr>
        <w:t>.</w:t>
      </w:r>
    </w:p>
    <w:p w14:paraId="4094BF5F" w14:textId="7118EDD3" w:rsidR="000063A4" w:rsidRDefault="000063A4" w:rsidP="00471E2B">
      <w:pPr>
        <w:pStyle w:val="Heading2"/>
      </w:pPr>
      <w:bookmarkStart w:id="34" w:name="_Toc187919603"/>
      <w:r>
        <w:t>Independent Processing</w:t>
      </w:r>
      <w:bookmarkEnd w:id="34"/>
    </w:p>
    <w:p w14:paraId="257E6546" w14:textId="77777777" w:rsidR="000063A4" w:rsidRDefault="000063A4" w:rsidP="000063A4">
      <w:r>
        <w:t>The aim, wherever possible, should be to establish and maintain an independent VSRS process.</w:t>
      </w:r>
    </w:p>
    <w:p w14:paraId="0584B42B" w14:textId="4A98C5D0" w:rsidR="000063A4" w:rsidRPr="000063A4" w:rsidRDefault="000063A4" w:rsidP="00471E2B">
      <w:pPr>
        <w:pStyle w:val="Heading3"/>
      </w:pPr>
      <w:r w:rsidRPr="000063A4">
        <w:t>Best Practices/Lessons Learned:</w:t>
      </w:r>
    </w:p>
    <w:p w14:paraId="29BDF418" w14:textId="0F600750"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 xml:space="preserve">May consider the use of a separate entity to manage the VSRS or define a structure and rules of engagement within the </w:t>
      </w:r>
      <w:r w:rsidR="00B66CEE">
        <w:rPr>
          <w:rFonts w:eastAsia="Verdana"/>
        </w:rPr>
        <w:t>a</w:t>
      </w:r>
      <w:r w:rsidRPr="000063A4">
        <w:rPr>
          <w:rFonts w:eastAsia="Verdana"/>
        </w:rPr>
        <w:t>uthority to maintain independence.</w:t>
      </w:r>
    </w:p>
    <w:p w14:paraId="6CF4D2AC" w14:textId="63C885E8" w:rsidR="000063A4" w:rsidRDefault="000063A4" w:rsidP="003E382C">
      <w:pPr>
        <w:pStyle w:val="ListParagraph"/>
        <w:numPr>
          <w:ilvl w:val="0"/>
          <w:numId w:val="4"/>
        </w:numPr>
        <w:spacing w:before="0" w:after="0"/>
        <w:ind w:left="360" w:hanging="360"/>
        <w:rPr>
          <w:rFonts w:eastAsia="Verdana"/>
        </w:rPr>
      </w:pPr>
      <w:r w:rsidRPr="000063A4">
        <w:rPr>
          <w:rFonts w:eastAsia="Verdana"/>
        </w:rPr>
        <w:lastRenderedPageBreak/>
        <w:t xml:space="preserve">Establish </w:t>
      </w:r>
      <w:r w:rsidR="00A20D6B">
        <w:rPr>
          <w:rFonts w:eastAsia="Verdana"/>
        </w:rPr>
        <w:t>i</w:t>
      </w:r>
      <w:r w:rsidRPr="000063A4">
        <w:rPr>
          <w:rFonts w:eastAsia="Verdana"/>
        </w:rPr>
        <w:t>ndependence to maintain confidentiality, objective analysis of occurrences, and feedback to appropriate departments, other authorities, and the aviation community, as needed</w:t>
      </w:r>
      <w:r w:rsidR="00BC0168">
        <w:rPr>
          <w:rFonts w:eastAsia="Verdana"/>
        </w:rPr>
        <w:t>.</w:t>
      </w:r>
    </w:p>
    <w:p w14:paraId="04D49016" w14:textId="1105FD48" w:rsidR="00C90758" w:rsidRPr="00C90758" w:rsidRDefault="00C90758" w:rsidP="00D65D78">
      <w:pPr>
        <w:pStyle w:val="ListParagraph"/>
        <w:numPr>
          <w:ilvl w:val="0"/>
          <w:numId w:val="4"/>
        </w:numPr>
        <w:spacing w:before="0" w:after="0"/>
        <w:ind w:left="360" w:hanging="360"/>
        <w:rPr>
          <w:rFonts w:eastAsia="Verdana"/>
          <w:color w:val="auto"/>
        </w:rPr>
      </w:pPr>
      <w:r w:rsidRPr="00C90758">
        <w:rPr>
          <w:rFonts w:eastAsia="Verdana"/>
          <w:color w:val="auto"/>
        </w:rPr>
        <w:t xml:space="preserve">It may not be possible to identify or engage all participants for </w:t>
      </w:r>
      <w:proofErr w:type="gramStart"/>
      <w:r w:rsidRPr="00C90758">
        <w:rPr>
          <w:rFonts w:eastAsia="Verdana"/>
          <w:color w:val="auto"/>
        </w:rPr>
        <w:t>each and every</w:t>
      </w:r>
      <w:proofErr w:type="gramEnd"/>
      <w:r w:rsidRPr="00C90758">
        <w:rPr>
          <w:rFonts w:eastAsia="Verdana"/>
          <w:color w:val="auto"/>
        </w:rPr>
        <w:t xml:space="preserve"> report.</w:t>
      </w:r>
    </w:p>
    <w:p w14:paraId="07431017" w14:textId="6468A80B" w:rsidR="000063A4" w:rsidRDefault="000063A4" w:rsidP="00471E2B">
      <w:pPr>
        <w:pStyle w:val="Heading2"/>
      </w:pPr>
      <w:bookmarkStart w:id="35" w:name="_Toc187919604"/>
      <w:r>
        <w:t>Data Quality</w:t>
      </w:r>
      <w:bookmarkEnd w:id="35"/>
    </w:p>
    <w:p w14:paraId="7DEE27CE" w14:textId="415D3AC5" w:rsidR="000063A4" w:rsidRDefault="00A20D6B" w:rsidP="000063A4">
      <w:r>
        <w:t>The data quality checking</w:t>
      </w:r>
      <w:r w:rsidR="000063A4">
        <w:t xml:space="preserve"> process plays a crucial role in ensuring the accuracy and reliability of the reported information submitted to the VSRS. This mechanism helps to maintain the integrity of the data, ensures transparency</w:t>
      </w:r>
      <w:r>
        <w:t>,</w:t>
      </w:r>
      <w:r w:rsidR="000063A4">
        <w:t xml:space="preserve"> and enhances the overall effectiveness of the reporting system.</w:t>
      </w:r>
    </w:p>
    <w:p w14:paraId="4F00832D" w14:textId="09D85099" w:rsidR="000063A4" w:rsidRPr="000063A4" w:rsidRDefault="000063A4" w:rsidP="00BC0168">
      <w:pPr>
        <w:pStyle w:val="Heading3"/>
        <w:keepNext/>
      </w:pPr>
      <w:r w:rsidRPr="000063A4">
        <w:t>Best Practices/Lessons Learned:</w:t>
      </w:r>
    </w:p>
    <w:p w14:paraId="461153B6" w14:textId="654953F5" w:rsidR="000063A4" w:rsidRPr="000063A4" w:rsidRDefault="000063A4" w:rsidP="003E382C">
      <w:pPr>
        <w:pStyle w:val="ListParagraph"/>
        <w:keepNext/>
        <w:numPr>
          <w:ilvl w:val="0"/>
          <w:numId w:val="4"/>
        </w:numPr>
        <w:spacing w:before="0" w:after="0"/>
        <w:ind w:left="360" w:hanging="360"/>
        <w:rPr>
          <w:rFonts w:eastAsia="Verdana"/>
        </w:rPr>
      </w:pPr>
      <w:r w:rsidRPr="000063A4">
        <w:rPr>
          <w:rFonts w:eastAsia="Verdana"/>
        </w:rPr>
        <w:t>Verify the accuracy, completeness, and consistency of the reports submitted to help identify and correct errors, ensuring that the information is of high quality.</w:t>
      </w:r>
    </w:p>
    <w:p w14:paraId="286554FF" w14:textId="16ABC172" w:rsidR="000063A4" w:rsidRPr="00C065E9" w:rsidRDefault="000063A4" w:rsidP="003E382C">
      <w:pPr>
        <w:pStyle w:val="ListParagraph"/>
        <w:numPr>
          <w:ilvl w:val="0"/>
          <w:numId w:val="4"/>
        </w:numPr>
        <w:spacing w:before="0" w:after="0"/>
        <w:ind w:left="360" w:hanging="360"/>
        <w:rPr>
          <w:rFonts w:eastAsia="Verdana"/>
        </w:rPr>
      </w:pPr>
      <w:r w:rsidRPr="000063A4">
        <w:rPr>
          <w:rFonts w:eastAsia="Verdana"/>
        </w:rPr>
        <w:t>If possible, conduct peer reviews by evaluating reports using individuals with similar expertise or experience to ensure the accuracy and validity of the information. Peer reviews add an extra layer of scrutiny and validation to the reporting process, enhancing the credibility of the reports.</w:t>
      </w:r>
    </w:p>
    <w:p w14:paraId="527A84D1" w14:textId="1E039985" w:rsidR="000063A4" w:rsidRDefault="000063A4" w:rsidP="00471E2B">
      <w:pPr>
        <w:pStyle w:val="Heading2"/>
      </w:pPr>
      <w:bookmarkStart w:id="36" w:name="_Toc187919605"/>
      <w:r>
        <w:t>Feedback and Acknowledgment</w:t>
      </w:r>
      <w:bookmarkEnd w:id="36"/>
    </w:p>
    <w:p w14:paraId="1DD1F79B" w14:textId="6079F5B1" w:rsidR="000063A4" w:rsidRDefault="000063A4" w:rsidP="000063A4">
      <w:r>
        <w:t>To encourage further submission of reports</w:t>
      </w:r>
      <w:r w:rsidR="000E3C6C">
        <w:t>,</w:t>
      </w:r>
      <w:r>
        <w:t xml:space="preserve"> the State should clearly acknowledge receipt and where possible provide periodic status updates and a closure/conclusion to the reporter.  </w:t>
      </w:r>
    </w:p>
    <w:p w14:paraId="61B53FF8" w14:textId="0B254FE6" w:rsidR="000063A4" w:rsidRPr="000063A4" w:rsidRDefault="000063A4" w:rsidP="00471E2B">
      <w:pPr>
        <w:pStyle w:val="Heading3"/>
      </w:pPr>
      <w:r w:rsidRPr="000063A4">
        <w:t>Best Practices/Lessons Learned:</w:t>
      </w:r>
    </w:p>
    <w:p w14:paraId="07506282" w14:textId="41D375D2"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S</w:t>
      </w:r>
      <w:r w:rsidR="00953470">
        <w:rPr>
          <w:rFonts w:eastAsia="Verdana"/>
        </w:rPr>
        <w:t>t</w:t>
      </w:r>
      <w:r w:rsidRPr="000063A4">
        <w:rPr>
          <w:rFonts w:eastAsia="Verdana"/>
        </w:rPr>
        <w:t>ates may assign a tracking number</w:t>
      </w:r>
      <w:r w:rsidR="00A20D6B">
        <w:rPr>
          <w:rFonts w:eastAsia="Verdana"/>
        </w:rPr>
        <w:t>.</w:t>
      </w:r>
    </w:p>
    <w:p w14:paraId="31DFC7E1" w14:textId="0EBC407A"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 xml:space="preserve">Whenever possible, </w:t>
      </w:r>
      <w:r w:rsidR="00636369">
        <w:rPr>
          <w:rFonts w:eastAsia="Verdana"/>
        </w:rPr>
        <w:t xml:space="preserve">provide </w:t>
      </w:r>
      <w:r w:rsidRPr="000063A4">
        <w:rPr>
          <w:rFonts w:eastAsia="Verdana"/>
        </w:rPr>
        <w:t>feedback on the actions taken in response to a report in a timely manner to the reporter directly but also in the form of collective feedback to the reporting community</w:t>
      </w:r>
      <w:r w:rsidR="00A20D6B">
        <w:rPr>
          <w:rFonts w:eastAsia="Verdana"/>
        </w:rPr>
        <w:t>.</w:t>
      </w:r>
    </w:p>
    <w:p w14:paraId="3AFB7968" w14:textId="25498FF7" w:rsidR="000063A4" w:rsidRPr="00C065E9" w:rsidRDefault="000063A4" w:rsidP="003E382C">
      <w:pPr>
        <w:pStyle w:val="ListParagraph"/>
        <w:numPr>
          <w:ilvl w:val="0"/>
          <w:numId w:val="4"/>
        </w:numPr>
        <w:spacing w:before="0" w:after="0"/>
        <w:ind w:left="360" w:hanging="360"/>
        <w:rPr>
          <w:rFonts w:eastAsia="Verdana"/>
        </w:rPr>
      </w:pPr>
      <w:r w:rsidRPr="000063A4">
        <w:rPr>
          <w:rFonts w:eastAsia="Verdana"/>
        </w:rPr>
        <w:t>Provide justification and rationale on safety improvements</w:t>
      </w:r>
      <w:r w:rsidR="00A20D6B">
        <w:rPr>
          <w:rFonts w:eastAsia="Verdana"/>
        </w:rPr>
        <w:t>.</w:t>
      </w:r>
    </w:p>
    <w:p w14:paraId="5C6D5509" w14:textId="3176D018" w:rsidR="000063A4" w:rsidRDefault="000063A4" w:rsidP="00471E2B">
      <w:pPr>
        <w:pStyle w:val="Heading2"/>
      </w:pPr>
      <w:bookmarkStart w:id="37" w:name="_Toc187919606"/>
      <w:r>
        <w:t>Promotion and Engagement</w:t>
      </w:r>
      <w:bookmarkEnd w:id="37"/>
    </w:p>
    <w:p w14:paraId="4FF84088" w14:textId="0E839064" w:rsidR="000063A4" w:rsidRDefault="000063A4" w:rsidP="000063A4">
      <w:r>
        <w:t>To encourage effective VSRS participation, all participants should be familiar with the process and its deliverables.</w:t>
      </w:r>
    </w:p>
    <w:p w14:paraId="0163F925" w14:textId="361A02A2" w:rsidR="000063A4" w:rsidRPr="000063A4" w:rsidRDefault="000063A4" w:rsidP="00471E2B">
      <w:pPr>
        <w:pStyle w:val="Heading3"/>
      </w:pPr>
      <w:r w:rsidRPr="000063A4">
        <w:t>Best Practices/Lessons Learned:</w:t>
      </w:r>
    </w:p>
    <w:p w14:paraId="348283AA" w14:textId="5959AE12" w:rsidR="000063A4" w:rsidRPr="003F3C07" w:rsidRDefault="000063A4" w:rsidP="003E382C">
      <w:pPr>
        <w:pStyle w:val="ListParagraph"/>
        <w:numPr>
          <w:ilvl w:val="0"/>
          <w:numId w:val="4"/>
        </w:numPr>
        <w:spacing w:before="0" w:after="0"/>
        <w:ind w:left="360" w:hanging="360"/>
        <w:rPr>
          <w:rFonts w:eastAsia="Verdana"/>
        </w:rPr>
      </w:pPr>
      <w:r w:rsidRPr="000063A4">
        <w:rPr>
          <w:rFonts w:eastAsia="Verdana"/>
        </w:rPr>
        <w:t xml:space="preserve">Engage with all participants to raise awareness on </w:t>
      </w:r>
      <w:r w:rsidR="00A5320E">
        <w:rPr>
          <w:rFonts w:eastAsia="Verdana"/>
        </w:rPr>
        <w:t xml:space="preserve">the </w:t>
      </w:r>
      <w:r w:rsidRPr="000063A4">
        <w:rPr>
          <w:rFonts w:eastAsia="Verdana"/>
        </w:rPr>
        <w:t>VSRS process, non-punitive reporting</w:t>
      </w:r>
      <w:r w:rsidR="00A5320E">
        <w:rPr>
          <w:rFonts w:eastAsia="Verdana"/>
        </w:rPr>
        <w:t>,</w:t>
      </w:r>
      <w:r w:rsidRPr="000063A4">
        <w:rPr>
          <w:rFonts w:eastAsia="Verdana"/>
        </w:rPr>
        <w:t xml:space="preserve"> confi</w:t>
      </w:r>
      <w:r w:rsidRPr="00C90758">
        <w:rPr>
          <w:rFonts w:eastAsia="Verdana"/>
          <w:color w:val="auto"/>
        </w:rPr>
        <w:t>dentiality</w:t>
      </w:r>
      <w:r w:rsidR="00392644" w:rsidRPr="00C90758">
        <w:rPr>
          <w:rFonts w:eastAsia="Verdana"/>
          <w:color w:val="auto"/>
        </w:rPr>
        <w:t>, and examples of cases to (or not to) report.</w:t>
      </w:r>
      <w:r w:rsidR="005A076E" w:rsidRPr="00C90758">
        <w:rPr>
          <w:rFonts w:eastAsia="Verdana"/>
          <w:color w:val="auto"/>
        </w:rPr>
        <w:t xml:space="preserve"> </w:t>
      </w:r>
    </w:p>
    <w:p w14:paraId="0E01EBA7" w14:textId="37E68AAC"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Encourage organi</w:t>
      </w:r>
      <w:r w:rsidR="000E3C6C">
        <w:rPr>
          <w:rFonts w:eastAsia="Verdana"/>
        </w:rPr>
        <w:t>s</w:t>
      </w:r>
      <w:r w:rsidRPr="000063A4">
        <w:rPr>
          <w:rFonts w:eastAsia="Verdana"/>
        </w:rPr>
        <w:t>ations to foster a culture of safety and continuous improvement through voluntary reporting.</w:t>
      </w:r>
    </w:p>
    <w:p w14:paraId="7ABA1671" w14:textId="41DAAF04"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Disseminate aggregated analysis of the VSRS with the aviation community in a timely manner. A variety of dissemination methods should be used to achieve maximum exposure (e.g.</w:t>
      </w:r>
      <w:r w:rsidR="00A5320E">
        <w:rPr>
          <w:rFonts w:eastAsia="Verdana"/>
        </w:rPr>
        <w:t>,</w:t>
      </w:r>
      <w:r w:rsidRPr="000063A4">
        <w:rPr>
          <w:rFonts w:eastAsia="Verdana"/>
        </w:rPr>
        <w:t xml:space="preserve"> monthly newsletters, periodic summaries, safety bulletins published on </w:t>
      </w:r>
      <w:r w:rsidR="00A5320E">
        <w:rPr>
          <w:rFonts w:eastAsia="Verdana"/>
        </w:rPr>
        <w:t xml:space="preserve">the </w:t>
      </w:r>
      <w:r w:rsidRPr="000063A4">
        <w:rPr>
          <w:rFonts w:eastAsia="Verdana"/>
        </w:rPr>
        <w:t>internet)</w:t>
      </w:r>
      <w:r w:rsidR="00A5320E">
        <w:rPr>
          <w:rFonts w:eastAsia="Verdana"/>
        </w:rPr>
        <w:t>. This will</w:t>
      </w:r>
      <w:r w:rsidRPr="000063A4">
        <w:rPr>
          <w:rFonts w:eastAsia="Verdana"/>
        </w:rPr>
        <w:t xml:space="preserve"> motivate people in further reporting voluntary safety issues, hazards</w:t>
      </w:r>
      <w:r w:rsidR="00A5320E">
        <w:rPr>
          <w:rFonts w:eastAsia="Verdana"/>
        </w:rPr>
        <w:t>,</w:t>
      </w:r>
      <w:r w:rsidRPr="000063A4">
        <w:rPr>
          <w:rFonts w:eastAsia="Verdana"/>
        </w:rPr>
        <w:t xml:space="preserve"> and self-made errors. Include outcomes that had a positive effect on aviation safety.</w:t>
      </w:r>
    </w:p>
    <w:p w14:paraId="1036B804" w14:textId="1E3C1BEE" w:rsidR="000063A4" w:rsidRPr="00C90758" w:rsidRDefault="008F7D50" w:rsidP="003E382C">
      <w:pPr>
        <w:pStyle w:val="ListParagraph"/>
        <w:numPr>
          <w:ilvl w:val="0"/>
          <w:numId w:val="4"/>
        </w:numPr>
        <w:spacing w:before="0" w:after="0"/>
        <w:ind w:left="360" w:hanging="360"/>
        <w:rPr>
          <w:color w:val="auto"/>
        </w:rPr>
      </w:pPr>
      <w:r w:rsidRPr="00C90758">
        <w:rPr>
          <w:rFonts w:eastAsia="Verdana"/>
          <w:color w:val="auto"/>
        </w:rPr>
        <w:lastRenderedPageBreak/>
        <w:t>Consider d</w:t>
      </w:r>
      <w:r w:rsidR="000063A4" w:rsidRPr="00C90758">
        <w:rPr>
          <w:rFonts w:eastAsia="Verdana"/>
          <w:color w:val="auto"/>
        </w:rPr>
        <w:t>isseminat</w:t>
      </w:r>
      <w:r w:rsidRPr="00C90758">
        <w:rPr>
          <w:rFonts w:eastAsia="Verdana"/>
          <w:color w:val="auto"/>
        </w:rPr>
        <w:t>ing</w:t>
      </w:r>
      <w:r w:rsidR="000063A4" w:rsidRPr="00C90758">
        <w:rPr>
          <w:rFonts w:eastAsia="Verdana"/>
          <w:color w:val="auto"/>
        </w:rPr>
        <w:t xml:space="preserve"> pertinent reporting information such as: reporting rates, quality of reports, response times, resolution rates, and safety outcomes</w:t>
      </w:r>
      <w:r w:rsidR="00A20D6B" w:rsidRPr="00C90758">
        <w:rPr>
          <w:rFonts w:eastAsia="Verdana"/>
          <w:color w:val="auto"/>
        </w:rPr>
        <w:t>.</w:t>
      </w:r>
    </w:p>
    <w:p w14:paraId="1E3E19C4" w14:textId="77777777" w:rsidR="000063A4" w:rsidRPr="00471E2B" w:rsidRDefault="000063A4" w:rsidP="00471E2B">
      <w:pPr>
        <w:pStyle w:val="Heading2"/>
      </w:pPr>
      <w:bookmarkStart w:id="38" w:name="_Toc187919607"/>
      <w:r w:rsidRPr="00471E2B">
        <w:t>Collective Safety Data Processing and Analysis</w:t>
      </w:r>
      <w:bookmarkEnd w:id="38"/>
    </w:p>
    <w:p w14:paraId="4F6F4367" w14:textId="6EA4B539" w:rsidR="000063A4" w:rsidRDefault="000063A4" w:rsidP="000063A4">
      <w:r>
        <w:t>The analysis of collated safety data is a critical component of a successful VSRS. Accomplishing this effectively will lead to positive safety outcomes.</w:t>
      </w:r>
    </w:p>
    <w:p w14:paraId="7359B111" w14:textId="1EE3D97E" w:rsidR="000063A4" w:rsidRPr="000063A4" w:rsidRDefault="000063A4" w:rsidP="00471E2B">
      <w:pPr>
        <w:pStyle w:val="Heading3"/>
      </w:pPr>
      <w:r w:rsidRPr="000063A4">
        <w:t>Best Practices/Lessons Learned:</w:t>
      </w:r>
    </w:p>
    <w:p w14:paraId="5B0EDD19" w14:textId="2DD8B037"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 xml:space="preserve">Collate reports to help identify trends, perform analysis, and </w:t>
      </w:r>
      <w:r w:rsidR="00636369">
        <w:rPr>
          <w:rFonts w:eastAsia="Verdana"/>
        </w:rPr>
        <w:t xml:space="preserve">identify </w:t>
      </w:r>
      <w:r w:rsidRPr="000063A4">
        <w:rPr>
          <w:rFonts w:eastAsia="Verdana"/>
        </w:rPr>
        <w:t>indicators of potential risks and threats.</w:t>
      </w:r>
    </w:p>
    <w:p w14:paraId="6444DC26" w14:textId="555DFC53" w:rsidR="000063A4" w:rsidRPr="000063A4" w:rsidRDefault="00C065E9" w:rsidP="003E382C">
      <w:pPr>
        <w:pStyle w:val="ListParagraph"/>
        <w:numPr>
          <w:ilvl w:val="0"/>
          <w:numId w:val="4"/>
        </w:numPr>
        <w:spacing w:before="0" w:after="0"/>
        <w:ind w:left="360" w:hanging="360"/>
        <w:rPr>
          <w:rFonts w:eastAsia="Verdana"/>
        </w:rPr>
      </w:pPr>
      <w:r>
        <w:rPr>
          <w:rFonts w:eastAsia="Verdana"/>
        </w:rPr>
        <w:t>E</w:t>
      </w:r>
      <w:r w:rsidR="000063A4" w:rsidRPr="000063A4">
        <w:rPr>
          <w:rFonts w:eastAsia="Verdana"/>
        </w:rPr>
        <w:t>valuate data and information periodically that have touchpoints with other organi</w:t>
      </w:r>
      <w:r w:rsidR="000E3C6C">
        <w:rPr>
          <w:rFonts w:eastAsia="Verdana"/>
        </w:rPr>
        <w:t>s</w:t>
      </w:r>
      <w:r w:rsidR="000063A4" w:rsidRPr="000063A4">
        <w:rPr>
          <w:rFonts w:eastAsia="Verdana"/>
        </w:rPr>
        <w:t>ations throughout the State, which will give State</w:t>
      </w:r>
      <w:r w:rsidR="00636369">
        <w:rPr>
          <w:rFonts w:eastAsia="Verdana"/>
        </w:rPr>
        <w:t>-</w:t>
      </w:r>
      <w:r w:rsidR="000063A4" w:rsidRPr="000063A4">
        <w:rPr>
          <w:rFonts w:eastAsia="Verdana"/>
        </w:rPr>
        <w:t xml:space="preserve">level insights and/or actions to consider.   </w:t>
      </w:r>
    </w:p>
    <w:p w14:paraId="40BE965D" w14:textId="2162CAB5"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 xml:space="preserve">Conduct analysis cohesively with interfacing systems such as the mandatory reporting system and </w:t>
      </w:r>
      <w:r w:rsidR="00636369">
        <w:rPr>
          <w:rFonts w:eastAsia="Verdana"/>
        </w:rPr>
        <w:t>A</w:t>
      </w:r>
      <w:r w:rsidRPr="000063A4">
        <w:rPr>
          <w:rFonts w:eastAsia="Verdana"/>
        </w:rPr>
        <w:t>nnex 13 reporting information.</w:t>
      </w:r>
    </w:p>
    <w:p w14:paraId="6395E598" w14:textId="542DEFE2" w:rsidR="000063A4" w:rsidRPr="00C065E9" w:rsidRDefault="000063A4" w:rsidP="003E382C">
      <w:pPr>
        <w:pStyle w:val="ListParagraph"/>
        <w:numPr>
          <w:ilvl w:val="0"/>
          <w:numId w:val="4"/>
        </w:numPr>
        <w:spacing w:before="0" w:after="0"/>
        <w:ind w:left="360" w:hanging="360"/>
        <w:rPr>
          <w:rFonts w:eastAsia="Verdana"/>
        </w:rPr>
      </w:pPr>
      <w:r w:rsidRPr="000063A4">
        <w:rPr>
          <w:rFonts w:eastAsia="Verdana"/>
        </w:rPr>
        <w:t>Ensure that the analysis feeds into risk</w:t>
      </w:r>
      <w:r w:rsidR="00C065E9">
        <w:rPr>
          <w:rFonts w:eastAsia="Verdana"/>
        </w:rPr>
        <w:t>-</w:t>
      </w:r>
      <w:r w:rsidRPr="000063A4">
        <w:rPr>
          <w:rFonts w:eastAsia="Verdana"/>
        </w:rPr>
        <w:t>based processes and activities at the State level.</w:t>
      </w:r>
    </w:p>
    <w:p w14:paraId="7AB04CB1" w14:textId="3ADA21B4" w:rsidR="000063A4" w:rsidRDefault="000063A4" w:rsidP="00471E2B">
      <w:pPr>
        <w:pStyle w:val="Heading2"/>
      </w:pPr>
      <w:bookmarkStart w:id="39" w:name="_Toc187919608"/>
      <w:r>
        <w:t>VSRS Oversight and Continuous Improvement</w:t>
      </w:r>
      <w:bookmarkEnd w:id="39"/>
    </w:p>
    <w:p w14:paraId="039786B1" w14:textId="40100D65" w:rsidR="000063A4" w:rsidRDefault="000063A4" w:rsidP="000063A4">
      <w:r>
        <w:t xml:space="preserve">Oversight of the VSRS system is an essential component of its continued effectiveness. </w:t>
      </w:r>
      <w:r w:rsidR="00636369">
        <w:t>C</w:t>
      </w:r>
      <w:r>
        <w:t>onducting audits of the system and its outputs as well as monitoring its overall performance will ensure that it remains effective.</w:t>
      </w:r>
    </w:p>
    <w:p w14:paraId="52EAD4F5" w14:textId="261B8C0B" w:rsidR="000063A4" w:rsidRPr="000063A4" w:rsidRDefault="000063A4" w:rsidP="00471E2B">
      <w:pPr>
        <w:pStyle w:val="Heading3"/>
      </w:pPr>
      <w:r w:rsidRPr="000063A4">
        <w:t>Best Practices/Lessons Learned:</w:t>
      </w:r>
    </w:p>
    <w:p w14:paraId="72EC444D" w14:textId="700A5A6D"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Evaluate the VSRS via internal and external audit processes which should include evaluation of the reporting system and risk management system’s performance to assess how the safety information is best utilised.</w:t>
      </w:r>
    </w:p>
    <w:p w14:paraId="6D053328" w14:textId="656FAD2A"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 xml:space="preserve">Assess reporting culture during the audit activities to ensure that </w:t>
      </w:r>
      <w:r w:rsidR="0081545A">
        <w:rPr>
          <w:rFonts w:eastAsia="Verdana"/>
        </w:rPr>
        <w:t>J</w:t>
      </w:r>
      <w:r w:rsidRPr="000063A4">
        <w:rPr>
          <w:rFonts w:eastAsia="Verdana"/>
        </w:rPr>
        <w:t xml:space="preserve">ust </w:t>
      </w:r>
      <w:r w:rsidR="0081545A">
        <w:rPr>
          <w:rFonts w:eastAsia="Verdana"/>
        </w:rPr>
        <w:t>C</w:t>
      </w:r>
      <w:r w:rsidRPr="000063A4">
        <w:rPr>
          <w:rFonts w:eastAsia="Verdana"/>
        </w:rPr>
        <w:t>ulture principles are followed.</w:t>
      </w:r>
    </w:p>
    <w:p w14:paraId="7B888907" w14:textId="285F4630" w:rsidR="000063A4" w:rsidRPr="000063A4" w:rsidRDefault="000063A4" w:rsidP="003E382C">
      <w:pPr>
        <w:pStyle w:val="ListParagraph"/>
        <w:numPr>
          <w:ilvl w:val="0"/>
          <w:numId w:val="4"/>
        </w:numPr>
        <w:spacing w:before="0" w:after="0"/>
        <w:ind w:left="360" w:hanging="360"/>
        <w:rPr>
          <w:rFonts w:eastAsia="Verdana"/>
        </w:rPr>
      </w:pPr>
      <w:r w:rsidRPr="000063A4">
        <w:rPr>
          <w:rFonts w:eastAsia="Verdana"/>
        </w:rPr>
        <w:t>Revise and enhance State policies and procedures with lessons learned which may be subsequently adopted by the aviation participants.</w:t>
      </w:r>
    </w:p>
    <w:p w14:paraId="1A3E7B96" w14:textId="3F438365" w:rsidR="000063A4" w:rsidRDefault="000063A4" w:rsidP="003E382C">
      <w:pPr>
        <w:pStyle w:val="ListParagraph"/>
        <w:numPr>
          <w:ilvl w:val="0"/>
          <w:numId w:val="4"/>
        </w:numPr>
        <w:spacing w:before="0" w:after="0"/>
        <w:ind w:left="360" w:hanging="360"/>
        <w:rPr>
          <w:rFonts w:eastAsia="Verdana"/>
        </w:rPr>
      </w:pPr>
      <w:r w:rsidRPr="000063A4">
        <w:rPr>
          <w:rFonts w:eastAsia="Verdana"/>
        </w:rPr>
        <w:t>Define performance indicators to measure effectiveness and efficiency of the VSRS. Consider indicators such as reporting rates, quality of reports, response times, resolution rates</w:t>
      </w:r>
      <w:r w:rsidR="00636369">
        <w:rPr>
          <w:rFonts w:eastAsia="Verdana"/>
        </w:rPr>
        <w:t>,</w:t>
      </w:r>
      <w:r w:rsidRPr="000063A4">
        <w:rPr>
          <w:rFonts w:eastAsia="Verdana"/>
        </w:rPr>
        <w:t xml:space="preserve"> and safety outcomes. Measure these regularly to identify areas needing improvement.</w:t>
      </w:r>
    </w:p>
    <w:p w14:paraId="0D7DE492" w14:textId="781F755E" w:rsidR="00C90758" w:rsidRDefault="00C90758" w:rsidP="003E382C">
      <w:pPr>
        <w:pStyle w:val="ListParagraph"/>
        <w:numPr>
          <w:ilvl w:val="0"/>
          <w:numId w:val="4"/>
        </w:numPr>
        <w:spacing w:before="0" w:after="0"/>
        <w:ind w:left="360" w:hanging="360"/>
        <w:rPr>
          <w:rFonts w:eastAsia="Verdana"/>
        </w:rPr>
      </w:pPr>
      <w:r w:rsidRPr="00C90758">
        <w:rPr>
          <w:rFonts w:eastAsia="Verdana"/>
        </w:rPr>
        <w:t>Conduct stakeholder surveys or include the topic of VSRS in safety culture surveys conducted by the State authorities. This</w:t>
      </w:r>
      <w:r>
        <w:rPr>
          <w:rFonts w:eastAsia="Verdana"/>
        </w:rPr>
        <w:t xml:space="preserve"> is</w:t>
      </w:r>
      <w:r w:rsidRPr="00C90758">
        <w:rPr>
          <w:rFonts w:eastAsia="Verdana"/>
        </w:rPr>
        <w:t xml:space="preserve"> to solicit stakeholder expectations/sentiments and feedback on aspects of the VSRS including awareness of the VSRS and reporting principles, ease and accessibility of reporting, confidentiality and trust, and satisfaction with follow-up actions.</w:t>
      </w:r>
    </w:p>
    <w:p w14:paraId="43E1F222" w14:textId="5BC08262" w:rsidR="00C065E9" w:rsidRDefault="00C065E9" w:rsidP="00982B5C">
      <w:pPr>
        <w:pStyle w:val="Heading1"/>
        <w:ind w:left="540" w:hanging="540"/>
      </w:pPr>
      <w:bookmarkStart w:id="40" w:name="_Toc187919609"/>
      <w:r w:rsidRPr="00C065E9">
        <w:t>Communication and Promotion</w:t>
      </w:r>
      <w:bookmarkEnd w:id="40"/>
    </w:p>
    <w:p w14:paraId="490C164D" w14:textId="02FCFE23" w:rsidR="00C065E9" w:rsidRDefault="00C065E9" w:rsidP="00C065E9">
      <w:r>
        <w:t xml:space="preserve">Promoting the VSRS is crucial to ensure reporters understand the program’s inner workings, have confidence in the report processing, and feel protected. The State needs to cultivate a culture of trust </w:t>
      </w:r>
      <w:r w:rsidR="00F00D9E">
        <w:t>for</w:t>
      </w:r>
      <w:r>
        <w:t xml:space="preserve"> the reporter to comprehend the system’s purpose, recogni</w:t>
      </w:r>
      <w:r w:rsidR="00940026">
        <w:t>s</w:t>
      </w:r>
      <w:r>
        <w:t>e its value in mitigating or eliminating operational risks, and appreciate its role in driving positive aviation safety outcomes.</w:t>
      </w:r>
    </w:p>
    <w:p w14:paraId="5AF83729" w14:textId="1CB99F01" w:rsidR="00C065E9" w:rsidRDefault="00C065E9" w:rsidP="00C065E9">
      <w:r>
        <w:lastRenderedPageBreak/>
        <w:t xml:space="preserve">System promotion needs to ensure the inclusion of the points that are most relevant to the stakeholders such as:  </w:t>
      </w:r>
    </w:p>
    <w:p w14:paraId="7F6908A4" w14:textId="71CCA90D" w:rsidR="00C065E9" w:rsidRDefault="00C065E9" w:rsidP="003E382C">
      <w:pPr>
        <w:pStyle w:val="ListParagraph"/>
        <w:numPr>
          <w:ilvl w:val="0"/>
          <w:numId w:val="5"/>
        </w:numPr>
        <w:spacing w:before="0" w:after="0"/>
        <w:ind w:left="360" w:hanging="360"/>
      </w:pPr>
      <w:r>
        <w:t>Differences between mandatory and voluntary reporting</w:t>
      </w:r>
    </w:p>
    <w:p w14:paraId="1AA4F71F" w14:textId="537E4438" w:rsidR="00C065E9" w:rsidRDefault="00C065E9" w:rsidP="003E382C">
      <w:pPr>
        <w:pStyle w:val="ListParagraph"/>
        <w:numPr>
          <w:ilvl w:val="0"/>
          <w:numId w:val="5"/>
        </w:numPr>
        <w:spacing w:before="0" w:after="0"/>
        <w:ind w:left="360" w:hanging="360"/>
      </w:pPr>
      <w:r>
        <w:t>How confidentiality will be maintained</w:t>
      </w:r>
    </w:p>
    <w:p w14:paraId="42B2E8AA" w14:textId="1B6DC5B7" w:rsidR="00C065E9" w:rsidRDefault="00C065E9" w:rsidP="003E382C">
      <w:pPr>
        <w:pStyle w:val="ListParagraph"/>
        <w:numPr>
          <w:ilvl w:val="0"/>
          <w:numId w:val="5"/>
        </w:numPr>
        <w:spacing w:before="0" w:after="0"/>
        <w:ind w:left="360" w:hanging="360"/>
      </w:pPr>
      <w:r>
        <w:t>Details of non-punitive aspects of the report</w:t>
      </w:r>
    </w:p>
    <w:p w14:paraId="406DF7C9" w14:textId="5D46B5E6" w:rsidR="00C065E9" w:rsidRDefault="00C065E9" w:rsidP="003E382C">
      <w:pPr>
        <w:pStyle w:val="ListParagraph"/>
        <w:numPr>
          <w:ilvl w:val="0"/>
          <w:numId w:val="5"/>
        </w:numPr>
        <w:spacing w:before="0" w:after="0"/>
        <w:ind w:left="360" w:hanging="360"/>
      </w:pPr>
      <w:r>
        <w:t xml:space="preserve">Addressing acceptable and unacceptable </w:t>
      </w:r>
      <w:r w:rsidR="006E7366">
        <w:t>behaviours</w:t>
      </w:r>
    </w:p>
    <w:p w14:paraId="2C538960" w14:textId="7CBD3023" w:rsidR="00C065E9" w:rsidRDefault="00C065E9" w:rsidP="003E382C">
      <w:pPr>
        <w:pStyle w:val="ListParagraph"/>
        <w:numPr>
          <w:ilvl w:val="0"/>
          <w:numId w:val="5"/>
        </w:numPr>
        <w:spacing w:before="0" w:after="240"/>
        <w:ind w:left="360" w:hanging="360"/>
      </w:pPr>
      <w:r>
        <w:t xml:space="preserve">Promoting safety reports in a positive manner to assure and create a level of trust </w:t>
      </w:r>
    </w:p>
    <w:p w14:paraId="54D433CD" w14:textId="1E964795" w:rsidR="00C065E9" w:rsidRDefault="00C065E9" w:rsidP="00C065E9">
      <w:r>
        <w:t>Effectively communicating information from the voluntary reporting system to the aviation community is essential. States may create communication campaigns, educational packages, brochures, posters</w:t>
      </w:r>
      <w:r w:rsidR="00F00D9E">
        <w:t>,</w:t>
      </w:r>
      <w:r>
        <w:t xml:space="preserve"> </w:t>
      </w:r>
      <w:r w:rsidR="002B285A">
        <w:t xml:space="preserve">videos, </w:t>
      </w:r>
      <w:r>
        <w:t>etc. in response to safety outcomes. These resources are intended for internal and external stakeholders.</w:t>
      </w:r>
      <w:r w:rsidR="00F00D9E">
        <w:t xml:space="preserve"> Appendix A contains a sample VSRS poster.</w:t>
      </w:r>
    </w:p>
    <w:p w14:paraId="42BC4528" w14:textId="3D4F7A3C" w:rsidR="00C065E9" w:rsidRDefault="00C065E9" w:rsidP="00C065E9">
      <w:r>
        <w:t>States have effectively utili</w:t>
      </w:r>
      <w:r w:rsidR="00940026">
        <w:t>s</w:t>
      </w:r>
      <w:r>
        <w:t>ed various methods to initiate and maintain safety promotion, leveraging data gathered from the VSRS. Communicating the outcomes of reports is crucial for the reporters. State authorities might consider developing processes that extend beyond automated acknowledgments to include feedback on outcomes. Highlighting successes and reporting on mitigated safety events can build confidence in the system. Such promotional activities can motivate individuals to enhance the reporting of safety hazards and occurrences. A range of information dissemination methods can be employed to achieve this.</w:t>
      </w:r>
    </w:p>
    <w:p w14:paraId="760951D7" w14:textId="77777777" w:rsidR="00C065E9" w:rsidRDefault="00C065E9" w:rsidP="00C065E9">
      <w:r>
        <w:t xml:space="preserve">Some examples of successful communication methods are: </w:t>
      </w:r>
    </w:p>
    <w:p w14:paraId="2B6716BB" w14:textId="552602BD" w:rsidR="00C065E9" w:rsidRPr="00C065E9" w:rsidRDefault="00C065E9" w:rsidP="003E382C">
      <w:pPr>
        <w:pStyle w:val="ListParagraph"/>
        <w:numPr>
          <w:ilvl w:val="0"/>
          <w:numId w:val="4"/>
        </w:numPr>
        <w:spacing w:before="0" w:after="0"/>
        <w:ind w:left="360" w:hanging="360"/>
        <w:rPr>
          <w:rFonts w:eastAsia="Verdana"/>
        </w:rPr>
      </w:pPr>
      <w:r w:rsidRPr="00C065E9">
        <w:rPr>
          <w:rFonts w:eastAsia="Verdana"/>
        </w:rPr>
        <w:t>Newsletters</w:t>
      </w:r>
    </w:p>
    <w:p w14:paraId="2CDFC5B9" w14:textId="00447347" w:rsidR="00C065E9" w:rsidRPr="00C065E9" w:rsidRDefault="00C065E9" w:rsidP="003E382C">
      <w:pPr>
        <w:pStyle w:val="ListParagraph"/>
        <w:numPr>
          <w:ilvl w:val="0"/>
          <w:numId w:val="4"/>
        </w:numPr>
        <w:spacing w:before="0" w:after="0"/>
        <w:ind w:left="360" w:hanging="360"/>
        <w:rPr>
          <w:rFonts w:eastAsia="Verdana"/>
        </w:rPr>
      </w:pPr>
      <w:r w:rsidRPr="00C065E9">
        <w:rPr>
          <w:rFonts w:eastAsia="Verdana"/>
        </w:rPr>
        <w:t>Safety briefings</w:t>
      </w:r>
    </w:p>
    <w:p w14:paraId="1FB1101E" w14:textId="4427D390" w:rsidR="00C065E9" w:rsidRPr="00C065E9" w:rsidRDefault="00C065E9" w:rsidP="003E382C">
      <w:pPr>
        <w:pStyle w:val="ListParagraph"/>
        <w:numPr>
          <w:ilvl w:val="0"/>
          <w:numId w:val="4"/>
        </w:numPr>
        <w:spacing w:before="0" w:after="0"/>
        <w:ind w:left="360" w:hanging="360"/>
        <w:rPr>
          <w:rFonts w:eastAsia="Verdana"/>
        </w:rPr>
      </w:pPr>
      <w:r w:rsidRPr="00C065E9">
        <w:rPr>
          <w:rFonts w:eastAsia="Verdana"/>
        </w:rPr>
        <w:t>Safety visuals (posters, signs, videos</w:t>
      </w:r>
      <w:r w:rsidR="00636369">
        <w:rPr>
          <w:rFonts w:eastAsia="Verdana"/>
        </w:rPr>
        <w:t>,</w:t>
      </w:r>
      <w:r w:rsidRPr="00C065E9">
        <w:rPr>
          <w:rFonts w:eastAsia="Verdana"/>
        </w:rPr>
        <w:t xml:space="preserve"> etc.)</w:t>
      </w:r>
    </w:p>
    <w:p w14:paraId="66C4146E" w14:textId="0FBC9D4B" w:rsidR="00C065E9" w:rsidRPr="00C065E9" w:rsidRDefault="00C065E9" w:rsidP="003E382C">
      <w:pPr>
        <w:pStyle w:val="ListParagraph"/>
        <w:numPr>
          <w:ilvl w:val="0"/>
          <w:numId w:val="4"/>
        </w:numPr>
        <w:spacing w:before="0" w:after="0"/>
        <w:ind w:left="360" w:hanging="360"/>
        <w:rPr>
          <w:rFonts w:eastAsia="Verdana"/>
        </w:rPr>
      </w:pPr>
      <w:r w:rsidRPr="00C065E9">
        <w:rPr>
          <w:rFonts w:eastAsia="Verdana"/>
        </w:rPr>
        <w:t>Safety bulletins and alerts</w:t>
      </w:r>
    </w:p>
    <w:p w14:paraId="0B50AF62" w14:textId="688FDAE0" w:rsidR="00C065E9" w:rsidRPr="00C065E9" w:rsidRDefault="00C065E9" w:rsidP="003E382C">
      <w:pPr>
        <w:pStyle w:val="ListParagraph"/>
        <w:numPr>
          <w:ilvl w:val="0"/>
          <w:numId w:val="4"/>
        </w:numPr>
        <w:spacing w:before="0" w:after="0"/>
        <w:ind w:left="360" w:hanging="360"/>
        <w:rPr>
          <w:rFonts w:eastAsia="Verdana"/>
        </w:rPr>
      </w:pPr>
      <w:r w:rsidRPr="00C065E9">
        <w:rPr>
          <w:rFonts w:eastAsia="Verdana"/>
        </w:rPr>
        <w:t xml:space="preserve">Safety </w:t>
      </w:r>
      <w:r w:rsidR="00636369">
        <w:rPr>
          <w:rFonts w:eastAsia="Verdana"/>
        </w:rPr>
        <w:t>c</w:t>
      </w:r>
      <w:r w:rsidRPr="00C065E9">
        <w:rPr>
          <w:rFonts w:eastAsia="Verdana"/>
        </w:rPr>
        <w:t xml:space="preserve">ampaigns </w:t>
      </w:r>
    </w:p>
    <w:p w14:paraId="3164F9E6" w14:textId="74E369E9" w:rsidR="00C065E9" w:rsidRPr="00C90758" w:rsidRDefault="00C065E9" w:rsidP="003E382C">
      <w:pPr>
        <w:pStyle w:val="ListParagraph"/>
        <w:numPr>
          <w:ilvl w:val="0"/>
          <w:numId w:val="4"/>
        </w:numPr>
        <w:spacing w:before="0" w:after="0"/>
        <w:ind w:left="360" w:hanging="360"/>
        <w:rPr>
          <w:rFonts w:eastAsia="Verdana"/>
          <w:color w:val="auto"/>
        </w:rPr>
      </w:pPr>
      <w:r w:rsidRPr="00C90758">
        <w:rPr>
          <w:rFonts w:eastAsia="Verdana"/>
          <w:color w:val="auto"/>
        </w:rPr>
        <w:t>Onsite conferences, workshops, or webinars</w:t>
      </w:r>
    </w:p>
    <w:p w14:paraId="0ADD846D" w14:textId="77777777" w:rsidR="00782000" w:rsidRPr="00C90758" w:rsidRDefault="00782000" w:rsidP="00782000">
      <w:pPr>
        <w:pStyle w:val="ListParagraph"/>
        <w:numPr>
          <w:ilvl w:val="0"/>
          <w:numId w:val="4"/>
        </w:numPr>
        <w:spacing w:before="0" w:after="0"/>
        <w:ind w:left="360" w:hanging="360"/>
        <w:rPr>
          <w:rFonts w:eastAsia="Verdana"/>
          <w:color w:val="auto"/>
        </w:rPr>
      </w:pPr>
      <w:r w:rsidRPr="00C90758">
        <w:rPr>
          <w:rFonts w:eastAsia="Verdana"/>
          <w:color w:val="auto"/>
        </w:rPr>
        <w:t xml:space="preserve">Incorporation into syllabus of training courses </w:t>
      </w:r>
    </w:p>
    <w:p w14:paraId="36F88528" w14:textId="7ADB273B" w:rsidR="00C065E9" w:rsidRPr="00C065E9" w:rsidRDefault="00C065E9" w:rsidP="003E382C">
      <w:pPr>
        <w:pStyle w:val="ListParagraph"/>
        <w:numPr>
          <w:ilvl w:val="0"/>
          <w:numId w:val="4"/>
        </w:numPr>
        <w:spacing w:before="0" w:after="0"/>
        <w:ind w:left="360" w:hanging="360"/>
        <w:rPr>
          <w:rFonts w:eastAsia="Verdana"/>
        </w:rPr>
      </w:pPr>
      <w:r w:rsidRPr="00C065E9">
        <w:rPr>
          <w:rFonts w:eastAsia="Verdana"/>
        </w:rPr>
        <w:t>Participation in aviation society meetings and industry forums</w:t>
      </w:r>
    </w:p>
    <w:p w14:paraId="61A238AD" w14:textId="20F10B84" w:rsidR="004D39C6" w:rsidRDefault="00C065E9" w:rsidP="00982B5C">
      <w:pPr>
        <w:pStyle w:val="Heading1"/>
        <w:ind w:left="540" w:hanging="540"/>
      </w:pPr>
      <w:bookmarkStart w:id="41" w:name="_Toc187919610"/>
      <w:r w:rsidRPr="00C065E9">
        <w:t xml:space="preserve">References </w:t>
      </w:r>
      <w:r>
        <w:t>and Resources</w:t>
      </w:r>
      <w:bookmarkEnd w:id="41"/>
    </w:p>
    <w:p w14:paraId="0BE14A0F" w14:textId="6DD87543" w:rsidR="00C065E9" w:rsidRDefault="00C065E9" w:rsidP="003E382C">
      <w:pPr>
        <w:pStyle w:val="ListParagraph"/>
        <w:numPr>
          <w:ilvl w:val="0"/>
          <w:numId w:val="6"/>
        </w:numPr>
      </w:pPr>
      <w:hyperlink r:id="rId25" w:history="1">
        <w:r w:rsidRPr="00C065E9">
          <w:rPr>
            <w:rStyle w:val="Hyperlink"/>
          </w:rPr>
          <w:t>SM ICG Safety Management Terminology</w:t>
        </w:r>
      </w:hyperlink>
    </w:p>
    <w:p w14:paraId="006805E6" w14:textId="57E4F2DB" w:rsidR="00C065E9" w:rsidRDefault="00C065E9" w:rsidP="003E382C">
      <w:pPr>
        <w:pStyle w:val="ListParagraph"/>
        <w:numPr>
          <w:ilvl w:val="0"/>
          <w:numId w:val="6"/>
        </w:numPr>
      </w:pPr>
      <w:hyperlink r:id="rId26" w:history="1">
        <w:r w:rsidRPr="00C065E9">
          <w:rPr>
            <w:rStyle w:val="Hyperlink"/>
          </w:rPr>
          <w:t>SM ICG Voluntary Occurrence Reporting</w:t>
        </w:r>
      </w:hyperlink>
    </w:p>
    <w:bookmarkStart w:id="42" w:name="_Hlk177555191"/>
    <w:p w14:paraId="466F1ABE" w14:textId="4DE748A9" w:rsidR="00B01F07" w:rsidRPr="00424631" w:rsidRDefault="006D4D77" w:rsidP="003E382C">
      <w:pPr>
        <w:pStyle w:val="ListParagraph"/>
        <w:numPr>
          <w:ilvl w:val="0"/>
          <w:numId w:val="6"/>
        </w:numPr>
        <w:sectPr w:rsidR="00B01F07" w:rsidRPr="00424631" w:rsidSect="006E5F5D">
          <w:headerReference w:type="even" r:id="rId27"/>
          <w:footerReference w:type="default" r:id="rId28"/>
          <w:headerReference w:type="first" r:id="rId29"/>
          <w:pgSz w:w="12240" w:h="15840"/>
          <w:pgMar w:top="1397" w:right="1339" w:bottom="1066" w:left="1325" w:header="504" w:footer="878" w:gutter="0"/>
          <w:pgNumType w:start="1"/>
          <w:cols w:space="720"/>
          <w:docGrid w:linePitch="326"/>
        </w:sectPr>
      </w:pPr>
      <w:r>
        <w:fldChar w:fldCharType="begin"/>
      </w:r>
      <w:r>
        <w:instrText>HYPERLINK "https://www.icao.int/safety/SafetyManagement/Pages/GuidanceMaterial.aspx"</w:instrText>
      </w:r>
      <w:r>
        <w:fldChar w:fldCharType="separate"/>
      </w:r>
      <w:r w:rsidR="008931A5" w:rsidRPr="008931A5">
        <w:rPr>
          <w:rStyle w:val="Hyperlink"/>
        </w:rPr>
        <w:t>ICAO Doc 9859, The Safety Management Manual</w:t>
      </w:r>
      <w:r w:rsidR="008931A5">
        <w:rPr>
          <w:rStyle w:val="Hyperlink"/>
        </w:rPr>
        <w:t xml:space="preserve"> (SMM)</w:t>
      </w:r>
      <w:r w:rsidR="008931A5" w:rsidRPr="008931A5">
        <w:rPr>
          <w:rStyle w:val="Hyperlink"/>
        </w:rPr>
        <w:t>, 4</w:t>
      </w:r>
      <w:r w:rsidR="008931A5" w:rsidRPr="009E2747">
        <w:rPr>
          <w:rStyle w:val="Hyperlink"/>
          <w:vertAlign w:val="superscript"/>
        </w:rPr>
        <w:t>th</w:t>
      </w:r>
      <w:r w:rsidR="008931A5" w:rsidRPr="008931A5">
        <w:rPr>
          <w:rStyle w:val="Hyperlink"/>
        </w:rPr>
        <w:t xml:space="preserve"> Edition</w:t>
      </w:r>
      <w:r>
        <w:rPr>
          <w:rStyle w:val="Hyperlink"/>
        </w:rPr>
        <w:fldChar w:fldCharType="end"/>
      </w:r>
      <w:bookmarkEnd w:id="42"/>
    </w:p>
    <w:p w14:paraId="1815FF88" w14:textId="1B71D78D" w:rsidR="0083008C" w:rsidRPr="00424631" w:rsidRDefault="0083008C" w:rsidP="002F71C5">
      <w:pPr>
        <w:pStyle w:val="Heading1"/>
        <w:numPr>
          <w:ilvl w:val="0"/>
          <w:numId w:val="0"/>
        </w:numPr>
      </w:pPr>
      <w:bookmarkStart w:id="43" w:name="_bookmark19"/>
      <w:bookmarkStart w:id="44" w:name="_bookmark20"/>
      <w:bookmarkStart w:id="45" w:name="_Toc168066125"/>
      <w:bookmarkStart w:id="46" w:name="_Toc187919611"/>
      <w:bookmarkStart w:id="47" w:name="_Hlk176031787"/>
      <w:bookmarkEnd w:id="43"/>
      <w:bookmarkEnd w:id="44"/>
      <w:r w:rsidRPr="00424631">
        <w:lastRenderedPageBreak/>
        <w:t xml:space="preserve">Appendix A: </w:t>
      </w:r>
      <w:r w:rsidR="00F00D9E">
        <w:t>VSRS Poster</w:t>
      </w:r>
      <w:bookmarkEnd w:id="45"/>
      <w:bookmarkEnd w:id="46"/>
    </w:p>
    <w:p w14:paraId="63107631" w14:textId="5329A2AD" w:rsidR="004A3356" w:rsidRDefault="00711F86" w:rsidP="004A3356">
      <w:pPr>
        <w:sectPr w:rsidR="004A3356" w:rsidSect="007B2501">
          <w:headerReference w:type="even" r:id="rId30"/>
          <w:footerReference w:type="default" r:id="rId31"/>
          <w:headerReference w:type="first" r:id="rId32"/>
          <w:pgSz w:w="12240" w:h="15840" w:code="1"/>
          <w:pgMar w:top="1340" w:right="800" w:bottom="1340" w:left="1200" w:header="475" w:footer="601" w:gutter="0"/>
          <w:pgNumType w:start="1"/>
          <w:cols w:space="720"/>
          <w:docGrid w:linePitch="299"/>
        </w:sectPr>
      </w:pPr>
      <w:bookmarkStart w:id="48" w:name="_Hlk143580792"/>
      <w:bookmarkEnd w:id="47"/>
      <w:r w:rsidRPr="00424631">
        <w:t xml:space="preserve">The </w:t>
      </w:r>
      <w:r w:rsidR="00F00D9E">
        <w:t>following page contains a sample poster that can be used in promoting VSRS. Th</w:t>
      </w:r>
      <w:r w:rsidR="004A3356">
        <w:t xml:space="preserve">e poster </w:t>
      </w:r>
      <w:r w:rsidR="00F00D9E">
        <w:t xml:space="preserve">is also available for separate download on the </w:t>
      </w:r>
      <w:hyperlink r:id="rId33" w:history="1">
        <w:r w:rsidR="00F00D9E" w:rsidRPr="00630589">
          <w:rPr>
            <w:rStyle w:val="Hyperlink"/>
          </w:rPr>
          <w:t>SM ICG SKYbrary site</w:t>
        </w:r>
      </w:hyperlink>
      <w:r w:rsidR="00F00D9E">
        <w:t>.</w:t>
      </w:r>
      <w:bookmarkStart w:id="49" w:name="_bookmark21"/>
      <w:bookmarkStart w:id="50" w:name="_bookmark24"/>
      <w:bookmarkStart w:id="51" w:name="_bookmark25"/>
      <w:bookmarkEnd w:id="48"/>
      <w:bookmarkEnd w:id="49"/>
      <w:bookmarkEnd w:id="50"/>
      <w:bookmarkEnd w:id="51"/>
    </w:p>
    <w:p w14:paraId="4F81F186" w14:textId="09514B16" w:rsidR="004A3356" w:rsidRPr="000D62CF" w:rsidRDefault="00D60C0E" w:rsidP="004A3356">
      <w:r>
        <w:rPr>
          <w:noProof/>
        </w:rPr>
        <w:lastRenderedPageBreak/>
        <w:drawing>
          <wp:anchor distT="0" distB="0" distL="114300" distR="114300" simplePos="0" relativeHeight="486409727" behindDoc="1" locked="0" layoutInCell="1" allowOverlap="1" wp14:anchorId="0EBA30AF" wp14:editId="2B0E26BB">
            <wp:simplePos x="0" y="0"/>
            <wp:positionH relativeFrom="page">
              <wp:posOffset>17452</wp:posOffset>
            </wp:positionH>
            <wp:positionV relativeFrom="paragraph">
              <wp:posOffset>-834424</wp:posOffset>
            </wp:positionV>
            <wp:extent cx="7795361" cy="10088115"/>
            <wp:effectExtent l="0" t="0" r="0" b="8890"/>
            <wp:wrapNone/>
            <wp:docPr id="209596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6648"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7795361" cy="10088115"/>
                    </a:xfrm>
                    <a:prstGeom prst="rect">
                      <a:avLst/>
                    </a:prstGeom>
                  </pic:spPr>
                </pic:pic>
              </a:graphicData>
            </a:graphic>
            <wp14:sizeRelH relativeFrom="margin">
              <wp14:pctWidth>0</wp14:pctWidth>
            </wp14:sizeRelH>
            <wp14:sizeRelV relativeFrom="margin">
              <wp14:pctHeight>0</wp14:pctHeight>
            </wp14:sizeRelV>
          </wp:anchor>
        </w:drawing>
      </w:r>
    </w:p>
    <w:sectPr w:rsidR="004A3356" w:rsidRPr="000D62CF" w:rsidSect="007B2501">
      <w:headerReference w:type="default" r:id="rId35"/>
      <w:footerReference w:type="default" r:id="rId36"/>
      <w:pgSz w:w="12240" w:h="15840" w:code="1"/>
      <w:pgMar w:top="1340" w:right="800" w:bottom="1340" w:left="1200" w:header="475" w:footer="60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DAA03" w14:textId="77777777" w:rsidR="00B8622B" w:rsidRPr="00424631" w:rsidRDefault="00B8622B" w:rsidP="00B55B33">
      <w:r w:rsidRPr="00424631">
        <w:separator/>
      </w:r>
    </w:p>
    <w:p w14:paraId="211FF9B0" w14:textId="77777777" w:rsidR="00B8622B" w:rsidRDefault="00B8622B"/>
  </w:endnote>
  <w:endnote w:type="continuationSeparator" w:id="0">
    <w:p w14:paraId="2D9DB7BD" w14:textId="77777777" w:rsidR="00B8622B" w:rsidRPr="00424631" w:rsidRDefault="00B8622B" w:rsidP="00B55B33">
      <w:r w:rsidRPr="00424631">
        <w:continuationSeparator/>
      </w:r>
    </w:p>
    <w:p w14:paraId="169EA4BB" w14:textId="77777777" w:rsidR="00B8622B" w:rsidRDefault="00B86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B486" w14:textId="508B9477" w:rsidR="00E31FED" w:rsidRPr="00226C5D" w:rsidRDefault="001F2221" w:rsidP="00B55B33">
    <w:pPr>
      <w:pStyle w:val="Bottom"/>
      <w:ind w:left="-630"/>
      <w:rPr>
        <w:rFonts w:ascii="Arial" w:hAnsi="Arial"/>
      </w:rPr>
    </w:pPr>
    <w:r w:rsidRPr="00226C5D">
      <w:rPr>
        <w:rFonts w:ascii="Arial" w:hAnsi="Arial"/>
        <w:noProof/>
      </w:rPr>
      <mc:AlternateContent>
        <mc:Choice Requires="wps">
          <w:drawing>
            <wp:anchor distT="0" distB="0" distL="114300" distR="114300" simplePos="0" relativeHeight="486490624" behindDoc="0" locked="0" layoutInCell="1" allowOverlap="1" wp14:anchorId="157045DB" wp14:editId="7AF902DC">
              <wp:simplePos x="0" y="0"/>
              <wp:positionH relativeFrom="margin">
                <wp:posOffset>-371476</wp:posOffset>
              </wp:positionH>
              <wp:positionV relativeFrom="margin">
                <wp:posOffset>8407401</wp:posOffset>
              </wp:positionV>
              <wp:extent cx="6962775" cy="0"/>
              <wp:effectExtent l="0" t="0" r="0" b="0"/>
              <wp:wrapNone/>
              <wp:docPr id="112073175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FAD08" id="Line 1" o:spid="_x0000_s1026" style="position:absolute;z-index:486490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9.25pt,662pt" to="519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" strokecolor="#002060">
              <w10:wrap anchorx="margin" anchory="margin"/>
            </v:line>
          </w:pict>
        </mc:Fallback>
      </mc:AlternateContent>
    </w:r>
    <w:r w:rsidR="007F039F" w:rsidRPr="00226C5D">
      <w:rPr>
        <w:rFonts w:ascii="Arial" w:hAnsi="Arial"/>
        <w:noProof/>
      </w:rPr>
      <mc:AlternateContent>
        <mc:Choice Requires="wps">
          <w:drawing>
            <wp:anchor distT="0" distB="0" distL="114300" distR="114300" simplePos="0" relativeHeight="486474240" behindDoc="0" locked="0" layoutInCell="1" allowOverlap="1" wp14:anchorId="10CE3D44" wp14:editId="2CD077B8">
              <wp:simplePos x="0" y="0"/>
              <wp:positionH relativeFrom="margin">
                <wp:posOffset>-297315</wp:posOffset>
              </wp:positionH>
              <wp:positionV relativeFrom="page">
                <wp:posOffset>10116185</wp:posOffset>
              </wp:positionV>
              <wp:extent cx="6796392" cy="12218"/>
              <wp:effectExtent l="0" t="0" r="24130" b="2603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82745" id="Line 1" o:spid="_x0000_s1026" style="position:absolute;z-index:486474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007F039F" w:rsidRPr="00226C5D">
      <w:rPr>
        <w:rFonts w:ascii="Arial" w:hAnsi="Arial"/>
      </w:rPr>
      <w:t>SM ICG material is free. If an organisation adapts material, it may not be made available for commercial resale.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7C41" w14:textId="5211F870" w:rsidR="00781585" w:rsidRPr="00982B5C" w:rsidRDefault="00CA002D" w:rsidP="0003561C">
    <w:pPr>
      <w:pStyle w:val="Bottom"/>
      <w:ind w:left="-630"/>
      <w:rPr>
        <w:rFonts w:ascii="Arial" w:hAnsi="Arial"/>
      </w:rPr>
    </w:pPr>
    <w:r w:rsidRPr="00226C5D">
      <w:rPr>
        <w:rFonts w:ascii="Arial" w:hAnsi="Arial"/>
        <w:noProof/>
      </w:rPr>
      <mc:AlternateContent>
        <mc:Choice Requires="wps">
          <w:drawing>
            <wp:anchor distT="0" distB="0" distL="114300" distR="114300" simplePos="0" relativeHeight="486516224" behindDoc="0" locked="0" layoutInCell="1" allowOverlap="1" wp14:anchorId="1674BB6E" wp14:editId="69BFBAF4">
              <wp:simplePos x="0" y="0"/>
              <wp:positionH relativeFrom="margin">
                <wp:align>center</wp:align>
              </wp:positionH>
              <wp:positionV relativeFrom="margin">
                <wp:posOffset>8405495</wp:posOffset>
              </wp:positionV>
              <wp:extent cx="6962775" cy="0"/>
              <wp:effectExtent l="0" t="0" r="0" b="0"/>
              <wp:wrapNone/>
              <wp:docPr id="43371635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6D2F8" id="Line 1" o:spid="_x0000_s1026" style="position:absolute;z-index:486516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61.85pt" to="548.25pt,6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" strokecolor="#002060">
              <w10:wrap anchorx="margin" anchory="margin"/>
            </v:line>
          </w:pict>
        </mc:Fallback>
      </mc:AlternateContent>
    </w:r>
    <w:r w:rsidR="007F039F" w:rsidRPr="00982B5C">
      <w:rPr>
        <w:rFonts w:ascii="Arial" w:hAnsi="Arial"/>
        <w:noProof/>
      </w:rPr>
      <mc:AlternateContent>
        <mc:Choice Requires="wps">
          <w:drawing>
            <wp:anchor distT="0" distB="0" distL="114300" distR="114300" simplePos="0" relativeHeight="486476288" behindDoc="0" locked="0" layoutInCell="1" allowOverlap="1" wp14:anchorId="618ACB21" wp14:editId="319C3E62">
              <wp:simplePos x="0" y="0"/>
              <wp:positionH relativeFrom="margin">
                <wp:posOffset>-297315</wp:posOffset>
              </wp:positionH>
              <wp:positionV relativeFrom="page">
                <wp:posOffset>10116185</wp:posOffset>
              </wp:positionV>
              <wp:extent cx="6796392" cy="12218"/>
              <wp:effectExtent l="0" t="0" r="24130" b="26035"/>
              <wp:wrapNone/>
              <wp:docPr id="120945645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4C564" id="Line 1" o:spid="_x0000_s1026" style="position:absolute;z-index:48647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007F039F" w:rsidRPr="00982B5C">
      <w:rPr>
        <w:rFonts w:ascii="Arial" w:hAnsi="Arial"/>
      </w:rPr>
      <w:t xml:space="preserve">SM ICG material is free. If an organisation adapts material, it may not be made available for commercial resale. </w:t>
    </w:r>
    <w:r w:rsidR="00AE55C7" w:rsidRPr="00982B5C">
      <w:rPr>
        <w:rFonts w:ascii="Arial" w:hAnsi="Arial"/>
        <w:sz w:val="22"/>
        <w:szCs w:val="22"/>
      </w:rPr>
      <w:tab/>
    </w:r>
    <w:r w:rsidR="007F039F" w:rsidRPr="00982B5C">
      <w:rPr>
        <w:rFonts w:ascii="Arial" w:hAnsi="Arial"/>
        <w:sz w:val="22"/>
        <w:szCs w:val="22"/>
      </w:rPr>
      <w:fldChar w:fldCharType="begin"/>
    </w:r>
    <w:r w:rsidR="007F039F" w:rsidRPr="00982B5C">
      <w:rPr>
        <w:rFonts w:ascii="Arial" w:hAnsi="Arial"/>
        <w:sz w:val="22"/>
        <w:szCs w:val="22"/>
      </w:rPr>
      <w:instrText xml:space="preserve"> PAGE </w:instrText>
    </w:r>
    <w:r w:rsidR="007F039F" w:rsidRPr="00982B5C">
      <w:rPr>
        <w:rFonts w:ascii="Arial" w:hAnsi="Arial"/>
        <w:sz w:val="22"/>
        <w:szCs w:val="22"/>
      </w:rPr>
      <w:fldChar w:fldCharType="separate"/>
    </w:r>
    <w:r w:rsidR="007F039F" w:rsidRPr="00982B5C">
      <w:rPr>
        <w:rFonts w:ascii="Arial" w:hAnsi="Arial"/>
        <w:sz w:val="22"/>
        <w:szCs w:val="22"/>
      </w:rPr>
      <w:t>1</w:t>
    </w:r>
    <w:r w:rsidR="007F039F" w:rsidRPr="00982B5C">
      <w:rPr>
        <w:rFonts w:ascii="Arial" w:hAnsi="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C4F7" w14:textId="0BD0A2E7" w:rsidR="004A3356" w:rsidRPr="00982B5C" w:rsidRDefault="00CA002D" w:rsidP="0003561C">
    <w:pPr>
      <w:pStyle w:val="Bottom"/>
      <w:ind w:left="-630"/>
      <w:rPr>
        <w:rFonts w:ascii="Arial" w:hAnsi="Arial"/>
      </w:rPr>
    </w:pPr>
    <w:r w:rsidRPr="00226C5D">
      <w:rPr>
        <w:rFonts w:ascii="Arial" w:hAnsi="Arial"/>
        <w:noProof/>
      </w:rPr>
      <mc:AlternateContent>
        <mc:Choice Requires="wps">
          <w:drawing>
            <wp:anchor distT="0" distB="0" distL="114300" distR="114300" simplePos="0" relativeHeight="486518272" behindDoc="0" locked="0" layoutInCell="1" allowOverlap="1" wp14:anchorId="5E0622C7" wp14:editId="3DD04AC0">
              <wp:simplePos x="0" y="0"/>
              <wp:positionH relativeFrom="page">
                <wp:align>center</wp:align>
              </wp:positionH>
              <wp:positionV relativeFrom="margin">
                <wp:posOffset>8589010</wp:posOffset>
              </wp:positionV>
              <wp:extent cx="6962775" cy="0"/>
              <wp:effectExtent l="0" t="0" r="0" b="0"/>
              <wp:wrapNone/>
              <wp:docPr id="193049823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A9446" id="Line 1" o:spid="_x0000_s1026" style="position:absolute;z-index:48651827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from="0,676.3pt" to="548.25pt,6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" strokecolor="#002060">
              <w10:wrap anchorx="page" anchory="margin"/>
            </v:line>
          </w:pict>
        </mc:Fallback>
      </mc:AlternateContent>
    </w:r>
    <w:r w:rsidR="004A3356" w:rsidRPr="00982B5C">
      <w:rPr>
        <w:rFonts w:ascii="Arial" w:hAnsi="Arial"/>
        <w:noProof/>
      </w:rPr>
      <mc:AlternateContent>
        <mc:Choice Requires="wps">
          <w:drawing>
            <wp:anchor distT="0" distB="0" distL="114300" distR="114300" simplePos="0" relativeHeight="486511104" behindDoc="0" locked="0" layoutInCell="1" allowOverlap="1" wp14:anchorId="664548ED" wp14:editId="3024B8C1">
              <wp:simplePos x="0" y="0"/>
              <wp:positionH relativeFrom="margin">
                <wp:posOffset>-297315</wp:posOffset>
              </wp:positionH>
              <wp:positionV relativeFrom="page">
                <wp:posOffset>10116185</wp:posOffset>
              </wp:positionV>
              <wp:extent cx="6796392" cy="12218"/>
              <wp:effectExtent l="0" t="0" r="24130" b="26035"/>
              <wp:wrapNone/>
              <wp:docPr id="162856480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C5D8C" id="Line 1" o:spid="_x0000_s1026" style="position:absolute;z-index:48651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004A3356" w:rsidRPr="00982B5C">
      <w:rPr>
        <w:rFonts w:ascii="Arial" w:hAnsi="Arial"/>
      </w:rPr>
      <w:t xml:space="preserve">SM ICG material is free. If an organisation adapts material, it may not be made available for commercial resale. </w:t>
    </w:r>
    <w:r w:rsidR="004A3356" w:rsidRPr="00982B5C">
      <w:rPr>
        <w:rFonts w:ascii="Arial" w:hAnsi="Arial"/>
        <w:sz w:val="22"/>
        <w:szCs w:val="22"/>
      </w:rPr>
      <w:tab/>
    </w:r>
    <w:r w:rsidR="004A3356">
      <w:rPr>
        <w:rFonts w:ascii="Arial" w:hAnsi="Arial"/>
        <w:sz w:val="22"/>
        <w:szCs w:val="22"/>
      </w:rPr>
      <w:t>A-</w:t>
    </w:r>
    <w:r w:rsidR="004A3356" w:rsidRPr="00982B5C">
      <w:rPr>
        <w:rFonts w:ascii="Arial" w:hAnsi="Arial"/>
        <w:sz w:val="22"/>
        <w:szCs w:val="22"/>
      </w:rPr>
      <w:fldChar w:fldCharType="begin"/>
    </w:r>
    <w:r w:rsidR="004A3356" w:rsidRPr="00982B5C">
      <w:rPr>
        <w:rFonts w:ascii="Arial" w:hAnsi="Arial"/>
        <w:sz w:val="22"/>
        <w:szCs w:val="22"/>
      </w:rPr>
      <w:instrText xml:space="preserve"> PAGE </w:instrText>
    </w:r>
    <w:r w:rsidR="004A3356" w:rsidRPr="00982B5C">
      <w:rPr>
        <w:rFonts w:ascii="Arial" w:hAnsi="Arial"/>
        <w:sz w:val="22"/>
        <w:szCs w:val="22"/>
      </w:rPr>
      <w:fldChar w:fldCharType="separate"/>
    </w:r>
    <w:r w:rsidR="004A3356" w:rsidRPr="00982B5C">
      <w:rPr>
        <w:rFonts w:ascii="Arial" w:hAnsi="Arial"/>
        <w:sz w:val="22"/>
        <w:szCs w:val="22"/>
      </w:rPr>
      <w:t>1</w:t>
    </w:r>
    <w:r w:rsidR="004A3356" w:rsidRPr="00982B5C">
      <w:rPr>
        <w:rFonts w:ascii="Arial" w:hAnsi="Arial"/>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D6EE" w14:textId="380087F7" w:rsidR="004A3356" w:rsidRPr="004A3356" w:rsidRDefault="004A3356" w:rsidP="004A3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734E6" w14:textId="77777777" w:rsidR="00B8622B" w:rsidRDefault="00B8622B">
      <w:r w:rsidRPr="00424631">
        <w:separator/>
      </w:r>
    </w:p>
  </w:footnote>
  <w:footnote w:type="continuationSeparator" w:id="0">
    <w:p w14:paraId="592BD1DF" w14:textId="77777777" w:rsidR="00B8622B" w:rsidRPr="00424631" w:rsidRDefault="00B8622B" w:rsidP="00B55B33">
      <w:r w:rsidRPr="00424631">
        <w:continuationSeparator/>
      </w:r>
    </w:p>
    <w:p w14:paraId="011F354D" w14:textId="77777777" w:rsidR="00B8622B" w:rsidRDefault="00B8622B"/>
  </w:footnote>
  <w:footnote w:id="1">
    <w:p w14:paraId="1859A851" w14:textId="3011BCEA" w:rsidR="00F63741" w:rsidRPr="00F63741" w:rsidRDefault="00F63741" w:rsidP="009A5F0D">
      <w:pPr>
        <w:pStyle w:val="Footnote"/>
      </w:pPr>
      <w:r w:rsidRPr="00F63741">
        <w:rPr>
          <w:rStyle w:val="FootnoteReference"/>
          <w:color w:val="auto"/>
        </w:rPr>
        <w:footnoteRef/>
      </w:r>
      <w:r w:rsidRPr="00CE56B9">
        <w:t xml:space="preserve"> Figure 1: Relationship between Voluntary Reporting and Safety Culture </w:t>
      </w:r>
      <w:r w:rsidR="00CE56B9" w:rsidRPr="00CE56B9">
        <w:t>S</w:t>
      </w:r>
      <w:r w:rsidRPr="00CE56B9">
        <w:t>ub-</w:t>
      </w:r>
      <w:r w:rsidR="00CE56B9" w:rsidRPr="00CE56B9">
        <w:t>C</w:t>
      </w:r>
      <w:r w:rsidRPr="00CE56B9">
        <w:t>omponents</w:t>
      </w:r>
      <w:r w:rsidRPr="00F63741">
        <w:t xml:space="preserve"> </w:t>
      </w:r>
      <w:r w:rsidR="00CE56B9">
        <w:t>was</w:t>
      </w:r>
      <w:r w:rsidRPr="00F63741">
        <w:t xml:space="preserve"> adapted from the Safety Culture work of James Reason</w:t>
      </w:r>
      <w:r w:rsidR="00CE56B9">
        <w:t>.</w:t>
      </w:r>
    </w:p>
    <w:p w14:paraId="457B097A" w14:textId="429AE5A5" w:rsidR="00F63741" w:rsidRPr="00F63741" w:rsidRDefault="00F6374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5EB4" w14:textId="15894E79" w:rsidR="005268CF" w:rsidRPr="00424631" w:rsidRDefault="00000000" w:rsidP="00B55B33">
    <w:pPr>
      <w:pStyle w:val="Header"/>
    </w:pPr>
    <w:r>
      <w:pict w14:anchorId="0C939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6" o:spid="_x0000_s1026" type="#_x0000_t136" style="position:absolute;margin-left:0;margin-top:0;width:526.7pt;height:210.65pt;rotation:315;z-index:-16892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D170" w14:textId="6FFFA197" w:rsidR="005268CF" w:rsidRPr="00424631" w:rsidRDefault="00000000" w:rsidP="00B55B33">
    <w:pPr>
      <w:pStyle w:val="Header"/>
    </w:pPr>
    <w:r>
      <w:pict w14:anchorId="6B928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3" o:spid="_x0000_s1043" type="#_x0000_t136" style="position:absolute;margin-left:0;margin-top:0;width:526.7pt;height:210.65pt;rotation:315;z-index:-16857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9423" w14:textId="77777777" w:rsidR="004A3356" w:rsidRPr="004A3356" w:rsidRDefault="004A3356" w:rsidP="004A3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4E4" w14:textId="6673B372" w:rsidR="005268CF" w:rsidRPr="00424631" w:rsidRDefault="00000000" w:rsidP="00B55B33">
    <w:pPr>
      <w:pStyle w:val="Header"/>
    </w:pPr>
    <w:r>
      <w:pict w14:anchorId="12E49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7" o:spid="_x0000_s1027" type="#_x0000_t136" style="position:absolute;margin-left:0;margin-top:0;width:526.7pt;height:210.65pt;rotation:315;z-index:-16890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602F" w14:textId="2F523057" w:rsidR="005268CF" w:rsidRPr="00424631" w:rsidRDefault="00000000" w:rsidP="00B55B33">
    <w:pPr>
      <w:pStyle w:val="Header"/>
    </w:pPr>
    <w:r>
      <w:pict w14:anchorId="26FF6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5" o:spid="_x0000_s1025" type="#_x0000_t136" style="position:absolute;margin-left:0;margin-top:0;width:526.7pt;height:210.65pt;rotation:315;z-index:-16894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80E8" w14:textId="409A3342" w:rsidR="005268CF" w:rsidRPr="00424631" w:rsidRDefault="00000000" w:rsidP="00B55B33">
    <w:pPr>
      <w:pStyle w:val="Header"/>
    </w:pPr>
    <w:r>
      <w:pict w14:anchorId="7ACDB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9" o:spid="_x0000_s1029" type="#_x0000_t136" style="position:absolute;margin-left:0;margin-top:0;width:526.7pt;height:210.65pt;rotation:315;z-index:-16886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C300" w14:textId="23A661E9" w:rsidR="00B55B33" w:rsidRDefault="00B55B33" w:rsidP="00B55B33">
    <w:pPr>
      <w:pStyle w:val="Heading"/>
    </w:pPr>
  </w:p>
  <w:p w14:paraId="714FEA9E" w14:textId="1E243052" w:rsidR="00781585" w:rsidRPr="00226C5D" w:rsidRDefault="00CA002D" w:rsidP="006E5F5D">
    <w:pPr>
      <w:pStyle w:val="Heading"/>
      <w:rPr>
        <w:rFonts w:ascii="Arial" w:hAnsi="Arial"/>
      </w:rPr>
    </w:pPr>
    <w:r w:rsidRPr="00226C5D">
      <w:rPr>
        <w:rFonts w:ascii="Arial" w:hAnsi="Arial"/>
        <w:noProof/>
      </w:rPr>
      <mc:AlternateContent>
        <mc:Choice Requires="wps">
          <w:drawing>
            <wp:anchor distT="0" distB="0" distL="114300" distR="114300" simplePos="0" relativeHeight="486514176" behindDoc="0" locked="0" layoutInCell="1" allowOverlap="1" wp14:anchorId="7F101516" wp14:editId="131EC03F">
              <wp:simplePos x="0" y="0"/>
              <wp:positionH relativeFrom="margin">
                <wp:align>center</wp:align>
              </wp:positionH>
              <wp:positionV relativeFrom="margin">
                <wp:posOffset>-159385</wp:posOffset>
              </wp:positionV>
              <wp:extent cx="6962775" cy="0"/>
              <wp:effectExtent l="0" t="0" r="0" b="0"/>
              <wp:wrapNone/>
              <wp:docPr id="28173310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2249" id="Line 1" o:spid="_x0000_s1026" style="position:absolute;z-index:4865141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12.55pt" to="548.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" strokecolor="#002060">
              <w10:wrap anchorx="margin" anchory="margin"/>
            </v:line>
          </w:pict>
        </mc:Fallback>
      </mc:AlternateContent>
    </w:r>
    <w:r w:rsidR="006E5F5D" w:rsidRPr="00226C5D">
      <w:rPr>
        <w:rFonts w:ascii="Arial" w:hAnsi="Arial"/>
        <w:noProof/>
      </w:rPr>
      <w:t>Guidance for Implementing or Improving Voluntary Safety Reporting at the State Level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DD28" w14:textId="4F25B516" w:rsidR="005268CF" w:rsidRPr="00424631" w:rsidRDefault="00000000" w:rsidP="00B55B33">
    <w:pPr>
      <w:pStyle w:val="Header"/>
    </w:pPr>
    <w:r>
      <w:pict w14:anchorId="3299B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8" o:spid="_x0000_s1028" type="#_x0000_t136" style="position:absolute;margin-left:0;margin-top:0;width:526.7pt;height:210.65pt;rotation:315;z-index:-16888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2C14" w14:textId="11234465" w:rsidR="005268CF" w:rsidRPr="00424631" w:rsidRDefault="00000000" w:rsidP="00B55B33">
    <w:pPr>
      <w:pStyle w:val="Header"/>
    </w:pPr>
    <w:r>
      <w:pict w14:anchorId="79461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2" o:spid="_x0000_s1032" type="#_x0000_t136" style="position:absolute;margin-left:0;margin-top:0;width:526.7pt;height:210.65pt;rotation:315;z-index:-16880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D13E" w14:textId="7E5105A6" w:rsidR="005268CF" w:rsidRPr="00424631" w:rsidRDefault="00000000" w:rsidP="00B55B33">
    <w:pPr>
      <w:pStyle w:val="Header"/>
    </w:pPr>
    <w:r>
      <w:pict w14:anchorId="09CC5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1" o:spid="_x0000_s1031" type="#_x0000_t136" style="position:absolute;margin-left:0;margin-top:0;width:526.7pt;height:210.65pt;rotation:315;z-index:-16882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F521" w14:textId="2B21A75A" w:rsidR="005268CF" w:rsidRPr="00424631" w:rsidRDefault="00000000" w:rsidP="00B55B33">
    <w:pPr>
      <w:pStyle w:val="Header"/>
    </w:pPr>
    <w:r>
      <w:pict w14:anchorId="401CC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4" o:spid="_x0000_s1044" type="#_x0000_t136" style="position:absolute;margin-left:0;margin-top:0;width:526.7pt;height:210.65pt;rotation:315;z-index:-168555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1D61ED21" w14:textId="77777777" w:rsidR="00662387" w:rsidRDefault="006623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C7A98"/>
    <w:multiLevelType w:val="hybridMultilevel"/>
    <w:tmpl w:val="8DFC9BAA"/>
    <w:lvl w:ilvl="0" w:tplc="64AEFD06">
      <w:numFmt w:val="bullet"/>
      <w:lvlText w:val="•"/>
      <w:lvlJc w:val="left"/>
      <w:pPr>
        <w:ind w:left="720" w:hanging="720"/>
      </w:pPr>
      <w:rPr>
        <w:rFonts w:ascii="Calibri" w:eastAsia="Verdan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EF23E0"/>
    <w:multiLevelType w:val="hybridMultilevel"/>
    <w:tmpl w:val="2B549976"/>
    <w:lvl w:ilvl="0" w:tplc="5994F51E">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060901"/>
    <w:multiLevelType w:val="hybridMultilevel"/>
    <w:tmpl w:val="B4022FA6"/>
    <w:lvl w:ilvl="0" w:tplc="64AEFD06">
      <w:numFmt w:val="bullet"/>
      <w:lvlText w:val="•"/>
      <w:lvlJc w:val="left"/>
      <w:pPr>
        <w:ind w:left="360" w:hanging="360"/>
      </w:pPr>
      <w:rPr>
        <w:rFonts w:ascii="Calibri" w:eastAsia="Verdan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166948"/>
    <w:multiLevelType w:val="hybridMultilevel"/>
    <w:tmpl w:val="920C7362"/>
    <w:lvl w:ilvl="0" w:tplc="64AEFD06">
      <w:numFmt w:val="bullet"/>
      <w:lvlText w:val="•"/>
      <w:lvlJc w:val="left"/>
      <w:pPr>
        <w:ind w:left="720" w:hanging="72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0113DF"/>
    <w:multiLevelType w:val="hybridMultilevel"/>
    <w:tmpl w:val="EAF670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8EA1FFB"/>
    <w:multiLevelType w:val="hybridMultilevel"/>
    <w:tmpl w:val="B02AB15E"/>
    <w:lvl w:ilvl="0" w:tplc="DB7CE3B6">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41415994">
    <w:abstractNumId w:val="4"/>
  </w:num>
  <w:num w:numId="2" w16cid:durableId="306397717">
    <w:abstractNumId w:val="5"/>
  </w:num>
  <w:num w:numId="3" w16cid:durableId="843402079">
    <w:abstractNumId w:val="0"/>
  </w:num>
  <w:num w:numId="4" w16cid:durableId="604076912">
    <w:abstractNumId w:val="3"/>
  </w:num>
  <w:num w:numId="5" w16cid:durableId="1172647265">
    <w:abstractNumId w:val="1"/>
  </w:num>
  <w:num w:numId="6" w16cid:durableId="60800538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28"/>
    <w:rsid w:val="00003528"/>
    <w:rsid w:val="0000608D"/>
    <w:rsid w:val="000063A4"/>
    <w:rsid w:val="0001250D"/>
    <w:rsid w:val="00014753"/>
    <w:rsid w:val="00016505"/>
    <w:rsid w:val="0001734D"/>
    <w:rsid w:val="000320D6"/>
    <w:rsid w:val="00034676"/>
    <w:rsid w:val="0003561C"/>
    <w:rsid w:val="000378BD"/>
    <w:rsid w:val="00044102"/>
    <w:rsid w:val="000550A7"/>
    <w:rsid w:val="00060A65"/>
    <w:rsid w:val="0007084F"/>
    <w:rsid w:val="0007344B"/>
    <w:rsid w:val="00075143"/>
    <w:rsid w:val="000768C6"/>
    <w:rsid w:val="000832CD"/>
    <w:rsid w:val="00084A60"/>
    <w:rsid w:val="00087029"/>
    <w:rsid w:val="0009520E"/>
    <w:rsid w:val="000A1CCE"/>
    <w:rsid w:val="000A5BC3"/>
    <w:rsid w:val="000A6FCD"/>
    <w:rsid w:val="000B7FCC"/>
    <w:rsid w:val="000C5EB2"/>
    <w:rsid w:val="000D0174"/>
    <w:rsid w:val="000D4FB2"/>
    <w:rsid w:val="000D62CF"/>
    <w:rsid w:val="000E21F3"/>
    <w:rsid w:val="000E3C6C"/>
    <w:rsid w:val="000E4D96"/>
    <w:rsid w:val="000F3EA0"/>
    <w:rsid w:val="000F4E09"/>
    <w:rsid w:val="00106051"/>
    <w:rsid w:val="0011221A"/>
    <w:rsid w:val="00114E31"/>
    <w:rsid w:val="0012286C"/>
    <w:rsid w:val="00124296"/>
    <w:rsid w:val="00125198"/>
    <w:rsid w:val="001346D7"/>
    <w:rsid w:val="00137E1C"/>
    <w:rsid w:val="00142E53"/>
    <w:rsid w:val="00151252"/>
    <w:rsid w:val="001515DB"/>
    <w:rsid w:val="00152F24"/>
    <w:rsid w:val="001552BC"/>
    <w:rsid w:val="00172876"/>
    <w:rsid w:val="001754BA"/>
    <w:rsid w:val="001802EE"/>
    <w:rsid w:val="00182B92"/>
    <w:rsid w:val="0018486D"/>
    <w:rsid w:val="00185250"/>
    <w:rsid w:val="00185B96"/>
    <w:rsid w:val="00192E97"/>
    <w:rsid w:val="00193219"/>
    <w:rsid w:val="0019444E"/>
    <w:rsid w:val="001A1E8A"/>
    <w:rsid w:val="001B4810"/>
    <w:rsid w:val="001B6E24"/>
    <w:rsid w:val="001B7F33"/>
    <w:rsid w:val="001C40A2"/>
    <w:rsid w:val="001D474D"/>
    <w:rsid w:val="001D4FBD"/>
    <w:rsid w:val="001D53CF"/>
    <w:rsid w:val="001E1F99"/>
    <w:rsid w:val="001F2221"/>
    <w:rsid w:val="001F3340"/>
    <w:rsid w:val="00201E22"/>
    <w:rsid w:val="00212C58"/>
    <w:rsid w:val="00222A57"/>
    <w:rsid w:val="00226C5D"/>
    <w:rsid w:val="00232057"/>
    <w:rsid w:val="00234233"/>
    <w:rsid w:val="002406B8"/>
    <w:rsid w:val="00242004"/>
    <w:rsid w:val="00243467"/>
    <w:rsid w:val="00244157"/>
    <w:rsid w:val="002444E5"/>
    <w:rsid w:val="0025349A"/>
    <w:rsid w:val="0026480D"/>
    <w:rsid w:val="00273B80"/>
    <w:rsid w:val="002742F8"/>
    <w:rsid w:val="00274A6D"/>
    <w:rsid w:val="00280100"/>
    <w:rsid w:val="00280833"/>
    <w:rsid w:val="0029126C"/>
    <w:rsid w:val="0029605A"/>
    <w:rsid w:val="00296268"/>
    <w:rsid w:val="002969C4"/>
    <w:rsid w:val="002A702E"/>
    <w:rsid w:val="002B285A"/>
    <w:rsid w:val="002B752A"/>
    <w:rsid w:val="002E1AAA"/>
    <w:rsid w:val="002F6BB1"/>
    <w:rsid w:val="002F71C5"/>
    <w:rsid w:val="002F767A"/>
    <w:rsid w:val="00300E6E"/>
    <w:rsid w:val="003029A9"/>
    <w:rsid w:val="0030588A"/>
    <w:rsid w:val="00305CFD"/>
    <w:rsid w:val="00307716"/>
    <w:rsid w:val="00314E25"/>
    <w:rsid w:val="0032571B"/>
    <w:rsid w:val="00327B5E"/>
    <w:rsid w:val="0033222E"/>
    <w:rsid w:val="0033478A"/>
    <w:rsid w:val="00336258"/>
    <w:rsid w:val="00340168"/>
    <w:rsid w:val="00344D54"/>
    <w:rsid w:val="003474A6"/>
    <w:rsid w:val="003577C8"/>
    <w:rsid w:val="00364793"/>
    <w:rsid w:val="003655A7"/>
    <w:rsid w:val="00382C70"/>
    <w:rsid w:val="00382E4F"/>
    <w:rsid w:val="003842C9"/>
    <w:rsid w:val="00392644"/>
    <w:rsid w:val="00392FC9"/>
    <w:rsid w:val="003934A3"/>
    <w:rsid w:val="003B2028"/>
    <w:rsid w:val="003C3933"/>
    <w:rsid w:val="003C4BF0"/>
    <w:rsid w:val="003D1063"/>
    <w:rsid w:val="003D69E3"/>
    <w:rsid w:val="003D77B4"/>
    <w:rsid w:val="003D7CCB"/>
    <w:rsid w:val="003E382C"/>
    <w:rsid w:val="003E42D7"/>
    <w:rsid w:val="003E44D8"/>
    <w:rsid w:val="003E5F68"/>
    <w:rsid w:val="003F3C07"/>
    <w:rsid w:val="004008FF"/>
    <w:rsid w:val="00407495"/>
    <w:rsid w:val="00417D07"/>
    <w:rsid w:val="00424631"/>
    <w:rsid w:val="0043742F"/>
    <w:rsid w:val="00452C8B"/>
    <w:rsid w:val="00462D54"/>
    <w:rsid w:val="004643BB"/>
    <w:rsid w:val="004674C0"/>
    <w:rsid w:val="00467FCF"/>
    <w:rsid w:val="00471E2B"/>
    <w:rsid w:val="00475A09"/>
    <w:rsid w:val="00482A19"/>
    <w:rsid w:val="00486351"/>
    <w:rsid w:val="004933FE"/>
    <w:rsid w:val="004A1C37"/>
    <w:rsid w:val="004A3356"/>
    <w:rsid w:val="004A4730"/>
    <w:rsid w:val="004A592F"/>
    <w:rsid w:val="004B5C2C"/>
    <w:rsid w:val="004C4D67"/>
    <w:rsid w:val="004D1F4A"/>
    <w:rsid w:val="004D39C6"/>
    <w:rsid w:val="004E48B4"/>
    <w:rsid w:val="004E691C"/>
    <w:rsid w:val="004F3024"/>
    <w:rsid w:val="0050045F"/>
    <w:rsid w:val="00507F45"/>
    <w:rsid w:val="005268CF"/>
    <w:rsid w:val="00526A14"/>
    <w:rsid w:val="00534614"/>
    <w:rsid w:val="0054077E"/>
    <w:rsid w:val="005426D7"/>
    <w:rsid w:val="00545204"/>
    <w:rsid w:val="0055150A"/>
    <w:rsid w:val="00557AA2"/>
    <w:rsid w:val="00557FC0"/>
    <w:rsid w:val="0056074F"/>
    <w:rsid w:val="00573A90"/>
    <w:rsid w:val="005830B4"/>
    <w:rsid w:val="00584E61"/>
    <w:rsid w:val="005867A1"/>
    <w:rsid w:val="005903D1"/>
    <w:rsid w:val="00593EB0"/>
    <w:rsid w:val="00594F5D"/>
    <w:rsid w:val="005A076E"/>
    <w:rsid w:val="005B4F3D"/>
    <w:rsid w:val="005B6DD4"/>
    <w:rsid w:val="005D0392"/>
    <w:rsid w:val="005D0BC0"/>
    <w:rsid w:val="005D206F"/>
    <w:rsid w:val="005E0320"/>
    <w:rsid w:val="005E0587"/>
    <w:rsid w:val="00601C2F"/>
    <w:rsid w:val="00602738"/>
    <w:rsid w:val="00626434"/>
    <w:rsid w:val="00630589"/>
    <w:rsid w:val="00630D07"/>
    <w:rsid w:val="00636369"/>
    <w:rsid w:val="0064039E"/>
    <w:rsid w:val="00662387"/>
    <w:rsid w:val="006643B6"/>
    <w:rsid w:val="006667EB"/>
    <w:rsid w:val="00666E33"/>
    <w:rsid w:val="00673D51"/>
    <w:rsid w:val="006760CA"/>
    <w:rsid w:val="00677BD2"/>
    <w:rsid w:val="006A01EC"/>
    <w:rsid w:val="006B78DB"/>
    <w:rsid w:val="006C11E7"/>
    <w:rsid w:val="006C1629"/>
    <w:rsid w:val="006D4D77"/>
    <w:rsid w:val="006E2DBD"/>
    <w:rsid w:val="006E5F5D"/>
    <w:rsid w:val="006E7366"/>
    <w:rsid w:val="006E743E"/>
    <w:rsid w:val="006F15D1"/>
    <w:rsid w:val="006F22F0"/>
    <w:rsid w:val="006F477D"/>
    <w:rsid w:val="006F5A63"/>
    <w:rsid w:val="006F7C0C"/>
    <w:rsid w:val="00700177"/>
    <w:rsid w:val="007001C5"/>
    <w:rsid w:val="007004AD"/>
    <w:rsid w:val="0070220A"/>
    <w:rsid w:val="0070336F"/>
    <w:rsid w:val="00703864"/>
    <w:rsid w:val="0070655B"/>
    <w:rsid w:val="00711F86"/>
    <w:rsid w:val="0073306D"/>
    <w:rsid w:val="00735CF1"/>
    <w:rsid w:val="00737E6B"/>
    <w:rsid w:val="00743F9C"/>
    <w:rsid w:val="0074419A"/>
    <w:rsid w:val="00745F04"/>
    <w:rsid w:val="007500AD"/>
    <w:rsid w:val="007560AB"/>
    <w:rsid w:val="00771313"/>
    <w:rsid w:val="0077249D"/>
    <w:rsid w:val="00777C47"/>
    <w:rsid w:val="00781585"/>
    <w:rsid w:val="00782000"/>
    <w:rsid w:val="0079019A"/>
    <w:rsid w:val="007A02A6"/>
    <w:rsid w:val="007A252A"/>
    <w:rsid w:val="007A519B"/>
    <w:rsid w:val="007A53F6"/>
    <w:rsid w:val="007A7F4C"/>
    <w:rsid w:val="007B00D6"/>
    <w:rsid w:val="007B2501"/>
    <w:rsid w:val="007B3B20"/>
    <w:rsid w:val="007B3DEE"/>
    <w:rsid w:val="007B52AE"/>
    <w:rsid w:val="007B78A4"/>
    <w:rsid w:val="007C637C"/>
    <w:rsid w:val="007D19BA"/>
    <w:rsid w:val="007E0EA0"/>
    <w:rsid w:val="007E0F19"/>
    <w:rsid w:val="007E254D"/>
    <w:rsid w:val="007E2557"/>
    <w:rsid w:val="007F039F"/>
    <w:rsid w:val="007F193A"/>
    <w:rsid w:val="007F5B46"/>
    <w:rsid w:val="007F7197"/>
    <w:rsid w:val="00800A22"/>
    <w:rsid w:val="00801F65"/>
    <w:rsid w:val="00806FBF"/>
    <w:rsid w:val="0081545A"/>
    <w:rsid w:val="00821390"/>
    <w:rsid w:val="008221CC"/>
    <w:rsid w:val="008236B5"/>
    <w:rsid w:val="0082592D"/>
    <w:rsid w:val="0083008C"/>
    <w:rsid w:val="00830D8B"/>
    <w:rsid w:val="00832845"/>
    <w:rsid w:val="0083428F"/>
    <w:rsid w:val="008346C6"/>
    <w:rsid w:val="00837701"/>
    <w:rsid w:val="00862A41"/>
    <w:rsid w:val="00870359"/>
    <w:rsid w:val="008931A5"/>
    <w:rsid w:val="008965EE"/>
    <w:rsid w:val="008D0E81"/>
    <w:rsid w:val="008F107F"/>
    <w:rsid w:val="008F2E9A"/>
    <w:rsid w:val="008F7D50"/>
    <w:rsid w:val="00906194"/>
    <w:rsid w:val="009177E8"/>
    <w:rsid w:val="00917D4D"/>
    <w:rsid w:val="00924A7E"/>
    <w:rsid w:val="00933F8A"/>
    <w:rsid w:val="0093593F"/>
    <w:rsid w:val="00937038"/>
    <w:rsid w:val="00940026"/>
    <w:rsid w:val="00946B50"/>
    <w:rsid w:val="00953470"/>
    <w:rsid w:val="009542C2"/>
    <w:rsid w:val="0096201F"/>
    <w:rsid w:val="00965C1E"/>
    <w:rsid w:val="009725F7"/>
    <w:rsid w:val="00975563"/>
    <w:rsid w:val="009778F9"/>
    <w:rsid w:val="00982B5C"/>
    <w:rsid w:val="00986D95"/>
    <w:rsid w:val="009A27CE"/>
    <w:rsid w:val="009A4C67"/>
    <w:rsid w:val="009A5F0D"/>
    <w:rsid w:val="009B4EA1"/>
    <w:rsid w:val="009C0215"/>
    <w:rsid w:val="009C1E8D"/>
    <w:rsid w:val="009D00F3"/>
    <w:rsid w:val="009E2747"/>
    <w:rsid w:val="009E34A9"/>
    <w:rsid w:val="00A06480"/>
    <w:rsid w:val="00A14A8C"/>
    <w:rsid w:val="00A20D6B"/>
    <w:rsid w:val="00A21FBE"/>
    <w:rsid w:val="00A26644"/>
    <w:rsid w:val="00A35727"/>
    <w:rsid w:val="00A404CC"/>
    <w:rsid w:val="00A42F40"/>
    <w:rsid w:val="00A440CE"/>
    <w:rsid w:val="00A5320E"/>
    <w:rsid w:val="00A5374E"/>
    <w:rsid w:val="00A55F82"/>
    <w:rsid w:val="00A612F4"/>
    <w:rsid w:val="00A63EF9"/>
    <w:rsid w:val="00A65C7C"/>
    <w:rsid w:val="00A73B18"/>
    <w:rsid w:val="00A765B2"/>
    <w:rsid w:val="00A80720"/>
    <w:rsid w:val="00A81402"/>
    <w:rsid w:val="00A8685F"/>
    <w:rsid w:val="00A914B0"/>
    <w:rsid w:val="00A96584"/>
    <w:rsid w:val="00AA3020"/>
    <w:rsid w:val="00AA42FB"/>
    <w:rsid w:val="00AB67C1"/>
    <w:rsid w:val="00AD33E3"/>
    <w:rsid w:val="00AE08F8"/>
    <w:rsid w:val="00AE55C7"/>
    <w:rsid w:val="00AE7FBD"/>
    <w:rsid w:val="00AF33D5"/>
    <w:rsid w:val="00B01F07"/>
    <w:rsid w:val="00B05FD7"/>
    <w:rsid w:val="00B0772C"/>
    <w:rsid w:val="00B2286E"/>
    <w:rsid w:val="00B32132"/>
    <w:rsid w:val="00B402CE"/>
    <w:rsid w:val="00B410C1"/>
    <w:rsid w:val="00B42659"/>
    <w:rsid w:val="00B50EEE"/>
    <w:rsid w:val="00B55B33"/>
    <w:rsid w:val="00B6166F"/>
    <w:rsid w:val="00B66CEE"/>
    <w:rsid w:val="00B71522"/>
    <w:rsid w:val="00B721CC"/>
    <w:rsid w:val="00B83618"/>
    <w:rsid w:val="00B85ED8"/>
    <w:rsid w:val="00B8622B"/>
    <w:rsid w:val="00B94A73"/>
    <w:rsid w:val="00B965EC"/>
    <w:rsid w:val="00B96CE0"/>
    <w:rsid w:val="00B979C3"/>
    <w:rsid w:val="00BA35B2"/>
    <w:rsid w:val="00BA403A"/>
    <w:rsid w:val="00BA65C0"/>
    <w:rsid w:val="00BB4735"/>
    <w:rsid w:val="00BC0168"/>
    <w:rsid w:val="00BC1632"/>
    <w:rsid w:val="00BC41CC"/>
    <w:rsid w:val="00BC597D"/>
    <w:rsid w:val="00BD20C2"/>
    <w:rsid w:val="00BD5BF7"/>
    <w:rsid w:val="00BE1461"/>
    <w:rsid w:val="00BF262E"/>
    <w:rsid w:val="00C00B99"/>
    <w:rsid w:val="00C02E10"/>
    <w:rsid w:val="00C065E9"/>
    <w:rsid w:val="00C109FA"/>
    <w:rsid w:val="00C15505"/>
    <w:rsid w:val="00C168B8"/>
    <w:rsid w:val="00C20E36"/>
    <w:rsid w:val="00C23B36"/>
    <w:rsid w:val="00C3231B"/>
    <w:rsid w:val="00C35467"/>
    <w:rsid w:val="00C40825"/>
    <w:rsid w:val="00C4785F"/>
    <w:rsid w:val="00C5026F"/>
    <w:rsid w:val="00C562A4"/>
    <w:rsid w:val="00C612F0"/>
    <w:rsid w:val="00C61D67"/>
    <w:rsid w:val="00C621F0"/>
    <w:rsid w:val="00C628AF"/>
    <w:rsid w:val="00C64812"/>
    <w:rsid w:val="00C65933"/>
    <w:rsid w:val="00C67E40"/>
    <w:rsid w:val="00C7143D"/>
    <w:rsid w:val="00C7510B"/>
    <w:rsid w:val="00C75BB3"/>
    <w:rsid w:val="00C76212"/>
    <w:rsid w:val="00C83AEE"/>
    <w:rsid w:val="00C84F47"/>
    <w:rsid w:val="00C863DA"/>
    <w:rsid w:val="00C90758"/>
    <w:rsid w:val="00C957B1"/>
    <w:rsid w:val="00C96DD3"/>
    <w:rsid w:val="00CA002D"/>
    <w:rsid w:val="00CA2E2F"/>
    <w:rsid w:val="00CA6E5C"/>
    <w:rsid w:val="00CB0743"/>
    <w:rsid w:val="00CB1AB7"/>
    <w:rsid w:val="00CB5972"/>
    <w:rsid w:val="00CB743B"/>
    <w:rsid w:val="00CC33AB"/>
    <w:rsid w:val="00CC4527"/>
    <w:rsid w:val="00CC577D"/>
    <w:rsid w:val="00CD02CD"/>
    <w:rsid w:val="00CD2F71"/>
    <w:rsid w:val="00CD4618"/>
    <w:rsid w:val="00CD5D42"/>
    <w:rsid w:val="00CE56B9"/>
    <w:rsid w:val="00CF057C"/>
    <w:rsid w:val="00CF174E"/>
    <w:rsid w:val="00CF2EED"/>
    <w:rsid w:val="00CF3C66"/>
    <w:rsid w:val="00CF594E"/>
    <w:rsid w:val="00CF5B28"/>
    <w:rsid w:val="00CF775E"/>
    <w:rsid w:val="00D06A6E"/>
    <w:rsid w:val="00D0708A"/>
    <w:rsid w:val="00D17E09"/>
    <w:rsid w:val="00D202E8"/>
    <w:rsid w:val="00D216DF"/>
    <w:rsid w:val="00D225B9"/>
    <w:rsid w:val="00D45FC1"/>
    <w:rsid w:val="00D60C0E"/>
    <w:rsid w:val="00D60D83"/>
    <w:rsid w:val="00D70464"/>
    <w:rsid w:val="00D72AB9"/>
    <w:rsid w:val="00D75624"/>
    <w:rsid w:val="00D83325"/>
    <w:rsid w:val="00D845F9"/>
    <w:rsid w:val="00D84CE1"/>
    <w:rsid w:val="00DA286F"/>
    <w:rsid w:val="00DA6FA9"/>
    <w:rsid w:val="00DB1A07"/>
    <w:rsid w:val="00DB2EB9"/>
    <w:rsid w:val="00DB601B"/>
    <w:rsid w:val="00DC48B1"/>
    <w:rsid w:val="00DD3349"/>
    <w:rsid w:val="00DD5191"/>
    <w:rsid w:val="00DD676E"/>
    <w:rsid w:val="00DE638F"/>
    <w:rsid w:val="00DE69EF"/>
    <w:rsid w:val="00DF0121"/>
    <w:rsid w:val="00DF3196"/>
    <w:rsid w:val="00DF68AC"/>
    <w:rsid w:val="00E02560"/>
    <w:rsid w:val="00E074C8"/>
    <w:rsid w:val="00E07B53"/>
    <w:rsid w:val="00E109B7"/>
    <w:rsid w:val="00E1340F"/>
    <w:rsid w:val="00E17D6C"/>
    <w:rsid w:val="00E2092C"/>
    <w:rsid w:val="00E20CCB"/>
    <w:rsid w:val="00E24394"/>
    <w:rsid w:val="00E25599"/>
    <w:rsid w:val="00E31FED"/>
    <w:rsid w:val="00E348D6"/>
    <w:rsid w:val="00E34B2C"/>
    <w:rsid w:val="00E35C3F"/>
    <w:rsid w:val="00E36D99"/>
    <w:rsid w:val="00E45067"/>
    <w:rsid w:val="00E46542"/>
    <w:rsid w:val="00E62AD8"/>
    <w:rsid w:val="00E7259F"/>
    <w:rsid w:val="00E72D2A"/>
    <w:rsid w:val="00E75664"/>
    <w:rsid w:val="00E81EE2"/>
    <w:rsid w:val="00E87A5B"/>
    <w:rsid w:val="00E87F45"/>
    <w:rsid w:val="00E90FDD"/>
    <w:rsid w:val="00E916BE"/>
    <w:rsid w:val="00E91900"/>
    <w:rsid w:val="00E92118"/>
    <w:rsid w:val="00E92159"/>
    <w:rsid w:val="00E9359B"/>
    <w:rsid w:val="00E94E8F"/>
    <w:rsid w:val="00E94F0F"/>
    <w:rsid w:val="00EB00CF"/>
    <w:rsid w:val="00EB11DE"/>
    <w:rsid w:val="00EB1EAF"/>
    <w:rsid w:val="00ED0028"/>
    <w:rsid w:val="00ED008B"/>
    <w:rsid w:val="00ED3DE8"/>
    <w:rsid w:val="00EE2045"/>
    <w:rsid w:val="00EE62D7"/>
    <w:rsid w:val="00EF1ECF"/>
    <w:rsid w:val="00F00D9E"/>
    <w:rsid w:val="00F12965"/>
    <w:rsid w:val="00F138C4"/>
    <w:rsid w:val="00F17B90"/>
    <w:rsid w:val="00F25760"/>
    <w:rsid w:val="00F26E22"/>
    <w:rsid w:val="00F328CA"/>
    <w:rsid w:val="00F34FAA"/>
    <w:rsid w:val="00F37CC8"/>
    <w:rsid w:val="00F42AF8"/>
    <w:rsid w:val="00F44C3C"/>
    <w:rsid w:val="00F505BE"/>
    <w:rsid w:val="00F52AC2"/>
    <w:rsid w:val="00F57031"/>
    <w:rsid w:val="00F5763B"/>
    <w:rsid w:val="00F63741"/>
    <w:rsid w:val="00F66BB0"/>
    <w:rsid w:val="00F67104"/>
    <w:rsid w:val="00F675F4"/>
    <w:rsid w:val="00F777E4"/>
    <w:rsid w:val="00F83FF8"/>
    <w:rsid w:val="00F8721F"/>
    <w:rsid w:val="00F90695"/>
    <w:rsid w:val="00F9617E"/>
    <w:rsid w:val="00F96C8B"/>
    <w:rsid w:val="00FA1EE7"/>
    <w:rsid w:val="00FA7DF4"/>
    <w:rsid w:val="00FB2561"/>
    <w:rsid w:val="00FB45CF"/>
    <w:rsid w:val="00FC790D"/>
    <w:rsid w:val="00FD3E7C"/>
    <w:rsid w:val="00FD7FAD"/>
    <w:rsid w:val="00FE6158"/>
    <w:rsid w:val="00FE65B2"/>
    <w:rsid w:val="00FE6CD8"/>
    <w:rsid w:val="00FF205A"/>
    <w:rsid w:val="00FF6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8AB8"/>
  <w15:docId w15:val="{224E65CF-4D29-4702-8B87-5A8D202B4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E9"/>
    <w:pPr>
      <w:widowControl/>
      <w:adjustRightInd w:val="0"/>
      <w:spacing w:after="120"/>
    </w:pPr>
    <w:rPr>
      <w:rFonts w:eastAsia="Times New Roman" w:cs="Arial"/>
      <w:color w:val="000000"/>
      <w:sz w:val="24"/>
      <w:lang w:val="en-GB"/>
    </w:rPr>
  </w:style>
  <w:style w:type="paragraph" w:styleId="Heading1">
    <w:name w:val="heading 1"/>
    <w:basedOn w:val="Normal"/>
    <w:link w:val="Heading1Char"/>
    <w:uiPriority w:val="9"/>
    <w:qFormat/>
    <w:rsid w:val="002F71C5"/>
    <w:pPr>
      <w:numPr>
        <w:numId w:val="2"/>
      </w:numPr>
      <w:spacing w:before="240"/>
      <w:outlineLvl w:val="0"/>
    </w:pPr>
    <w:rPr>
      <w:rFonts w:ascii="Verdana" w:eastAsia="Verdana" w:hAnsi="Verdana" w:cs="Verdana"/>
      <w:b/>
      <w:bCs/>
      <w:color w:val="0070C0"/>
      <w:sz w:val="28"/>
      <w:szCs w:val="28"/>
    </w:rPr>
  </w:style>
  <w:style w:type="paragraph" w:styleId="Heading2">
    <w:name w:val="heading 2"/>
    <w:basedOn w:val="Normal"/>
    <w:uiPriority w:val="9"/>
    <w:unhideWhenUsed/>
    <w:qFormat/>
    <w:rsid w:val="00471E2B"/>
    <w:pPr>
      <w:spacing w:before="240"/>
      <w:outlineLvl w:val="1"/>
    </w:pPr>
    <w:rPr>
      <w:b/>
      <w:bCs/>
      <w:sz w:val="26"/>
      <w:szCs w:val="26"/>
      <w:u w:val="single" w:color="000000"/>
    </w:rPr>
  </w:style>
  <w:style w:type="paragraph" w:styleId="Heading3">
    <w:name w:val="heading 3"/>
    <w:basedOn w:val="Heading2"/>
    <w:next w:val="Normal"/>
    <w:link w:val="Heading3Char"/>
    <w:uiPriority w:val="9"/>
    <w:unhideWhenUsed/>
    <w:qFormat/>
    <w:rsid w:val="000063A4"/>
    <w:pPr>
      <w:outlineLvl w:val="2"/>
    </w:pPr>
    <w:rPr>
      <w:sz w:val="24"/>
      <w:szCs w:val="24"/>
      <w:u w:val="none"/>
    </w:rPr>
  </w:style>
  <w:style w:type="paragraph" w:styleId="Heading4">
    <w:name w:val="heading 4"/>
    <w:basedOn w:val="Normal"/>
    <w:next w:val="Normal"/>
    <w:link w:val="Heading4Char"/>
    <w:uiPriority w:val="9"/>
    <w:unhideWhenUsed/>
    <w:qFormat/>
    <w:rsid w:val="00AE55C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391" w:hanging="272"/>
    </w:pPr>
  </w:style>
  <w:style w:type="paragraph" w:styleId="BodyText">
    <w:name w:val="Body Text"/>
    <w:basedOn w:val="Normal"/>
    <w:link w:val="BodyTextChar"/>
    <w:uiPriority w:val="1"/>
    <w:qFormat/>
  </w:style>
  <w:style w:type="paragraph" w:styleId="Title">
    <w:name w:val="Title"/>
    <w:basedOn w:val="Normal"/>
    <w:uiPriority w:val="10"/>
    <w:qFormat/>
    <w:pPr>
      <w:spacing w:before="77"/>
      <w:ind w:left="384" w:right="510"/>
      <w:jc w:val="center"/>
    </w:pPr>
    <w:rPr>
      <w:b/>
      <w:bCs/>
      <w:sz w:val="72"/>
      <w:szCs w:val="72"/>
    </w:rPr>
  </w:style>
  <w:style w:type="paragraph" w:styleId="ListParagraph">
    <w:name w:val="List Paragraph"/>
    <w:basedOn w:val="Normal"/>
    <w:uiPriority w:val="34"/>
    <w:qFormat/>
    <w:pPr>
      <w:spacing w:before="119"/>
      <w:ind w:left="839" w:hanging="361"/>
    </w:pPr>
  </w:style>
  <w:style w:type="paragraph" w:customStyle="1" w:styleId="TableParagraph">
    <w:name w:val="Table Paragraph"/>
    <w:basedOn w:val="Normal"/>
    <w:uiPriority w:val="1"/>
    <w:qFormat/>
    <w:pPr>
      <w:spacing w:before="71"/>
      <w:ind w:left="115"/>
    </w:pPr>
  </w:style>
  <w:style w:type="character" w:styleId="CommentReference">
    <w:name w:val="annotation reference"/>
    <w:basedOn w:val="DefaultParagraphFont"/>
    <w:uiPriority w:val="99"/>
    <w:semiHidden/>
    <w:unhideWhenUsed/>
    <w:rsid w:val="00711F86"/>
    <w:rPr>
      <w:sz w:val="16"/>
      <w:szCs w:val="16"/>
    </w:rPr>
  </w:style>
  <w:style w:type="paragraph" w:styleId="CommentText">
    <w:name w:val="annotation text"/>
    <w:basedOn w:val="Normal"/>
    <w:link w:val="CommentTextChar"/>
    <w:uiPriority w:val="99"/>
    <w:unhideWhenUsed/>
    <w:rsid w:val="00711F86"/>
    <w:rPr>
      <w:sz w:val="20"/>
      <w:szCs w:val="20"/>
    </w:rPr>
  </w:style>
  <w:style w:type="character" w:customStyle="1" w:styleId="CommentTextChar">
    <w:name w:val="Comment Text Char"/>
    <w:basedOn w:val="DefaultParagraphFont"/>
    <w:link w:val="CommentText"/>
    <w:uiPriority w:val="99"/>
    <w:rsid w:val="00711F8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11F86"/>
    <w:rPr>
      <w:b/>
      <w:bCs/>
    </w:rPr>
  </w:style>
  <w:style w:type="character" w:customStyle="1" w:styleId="CommentSubjectChar">
    <w:name w:val="Comment Subject Char"/>
    <w:basedOn w:val="CommentTextChar"/>
    <w:link w:val="CommentSubject"/>
    <w:uiPriority w:val="99"/>
    <w:semiHidden/>
    <w:rsid w:val="00711F86"/>
    <w:rPr>
      <w:rFonts w:ascii="Arial" w:eastAsia="Arial" w:hAnsi="Arial" w:cs="Arial"/>
      <w:b/>
      <w:bCs/>
      <w:sz w:val="20"/>
      <w:szCs w:val="20"/>
    </w:rPr>
  </w:style>
  <w:style w:type="character" w:styleId="Hyperlink">
    <w:name w:val="Hyperlink"/>
    <w:basedOn w:val="DefaultParagraphFont"/>
    <w:uiPriority w:val="99"/>
    <w:unhideWhenUsed/>
    <w:rsid w:val="004C4D67"/>
    <w:rPr>
      <w:color w:val="0000FF" w:themeColor="hyperlink"/>
      <w:u w:val="single"/>
    </w:rPr>
  </w:style>
  <w:style w:type="character" w:styleId="UnresolvedMention">
    <w:name w:val="Unresolved Mention"/>
    <w:basedOn w:val="DefaultParagraphFont"/>
    <w:uiPriority w:val="99"/>
    <w:semiHidden/>
    <w:unhideWhenUsed/>
    <w:rsid w:val="004C4D67"/>
    <w:rPr>
      <w:color w:val="605E5C"/>
      <w:shd w:val="clear" w:color="auto" w:fill="E1DFDD"/>
    </w:rPr>
  </w:style>
  <w:style w:type="character" w:styleId="FollowedHyperlink">
    <w:name w:val="FollowedHyperlink"/>
    <w:basedOn w:val="DefaultParagraphFont"/>
    <w:uiPriority w:val="99"/>
    <w:semiHidden/>
    <w:unhideWhenUsed/>
    <w:rsid w:val="004C4D67"/>
    <w:rPr>
      <w:color w:val="800080" w:themeColor="followedHyperlink"/>
      <w:u w:val="single"/>
    </w:rPr>
  </w:style>
  <w:style w:type="character" w:customStyle="1" w:styleId="BodyTextChar">
    <w:name w:val="Body Text Char"/>
    <w:basedOn w:val="DefaultParagraphFont"/>
    <w:link w:val="BodyText"/>
    <w:uiPriority w:val="1"/>
    <w:rsid w:val="003842C9"/>
    <w:rPr>
      <w:rFonts w:ascii="Arial" w:eastAsia="Arial" w:hAnsi="Arial" w:cs="Arial"/>
    </w:rPr>
  </w:style>
  <w:style w:type="table" w:styleId="TableGrid">
    <w:name w:val="Table Grid"/>
    <w:basedOn w:val="TableNormal"/>
    <w:uiPriority w:val="39"/>
    <w:rsid w:val="003842C9"/>
    <w:pPr>
      <w:widowControl/>
      <w:autoSpaceDE/>
      <w:autoSpaceDN/>
    </w:pPr>
    <w:rPr>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842C9"/>
    <w:rPr>
      <w:rFonts w:ascii="Calibri" w:hAnsi="Calibri" w:cs="Calibri" w:hint="default"/>
      <w:b w:val="0"/>
      <w:bCs w:val="0"/>
      <w:i w:val="0"/>
      <w:iCs w:val="0"/>
      <w:color w:val="000000"/>
      <w:sz w:val="20"/>
      <w:szCs w:val="20"/>
    </w:rPr>
  </w:style>
  <w:style w:type="character" w:customStyle="1" w:styleId="Heading1Char">
    <w:name w:val="Heading 1 Char"/>
    <w:basedOn w:val="DefaultParagraphFont"/>
    <w:link w:val="Heading1"/>
    <w:uiPriority w:val="9"/>
    <w:rsid w:val="002F71C5"/>
    <w:rPr>
      <w:rFonts w:ascii="Verdana" w:eastAsia="Verdana" w:hAnsi="Verdana" w:cs="Verdana"/>
      <w:b/>
      <w:bCs/>
      <w:color w:val="0070C0"/>
      <w:sz w:val="28"/>
      <w:szCs w:val="28"/>
      <w:lang w:val="en-GB"/>
    </w:rPr>
  </w:style>
  <w:style w:type="paragraph" w:styleId="Revision">
    <w:name w:val="Revision"/>
    <w:hidden/>
    <w:uiPriority w:val="99"/>
    <w:semiHidden/>
    <w:rsid w:val="00F42AF8"/>
    <w:pPr>
      <w:widowControl/>
      <w:autoSpaceDE/>
      <w:autoSpaceDN/>
    </w:pPr>
    <w:rPr>
      <w:rFonts w:ascii="Arial" w:eastAsia="Arial" w:hAnsi="Arial" w:cs="Arial"/>
    </w:rPr>
  </w:style>
  <w:style w:type="paragraph" w:styleId="Header">
    <w:name w:val="header"/>
    <w:basedOn w:val="Normal"/>
    <w:link w:val="HeaderChar"/>
    <w:uiPriority w:val="99"/>
    <w:unhideWhenUsed/>
    <w:rsid w:val="00FC790D"/>
    <w:pPr>
      <w:tabs>
        <w:tab w:val="center" w:pos="4680"/>
        <w:tab w:val="right" w:pos="9360"/>
      </w:tabs>
    </w:pPr>
  </w:style>
  <w:style w:type="character" w:customStyle="1" w:styleId="HeaderChar">
    <w:name w:val="Header Char"/>
    <w:basedOn w:val="DefaultParagraphFont"/>
    <w:link w:val="Header"/>
    <w:uiPriority w:val="99"/>
    <w:rsid w:val="00FC790D"/>
    <w:rPr>
      <w:rFonts w:ascii="Arial" w:eastAsia="Arial" w:hAnsi="Arial" w:cs="Arial"/>
    </w:rPr>
  </w:style>
  <w:style w:type="paragraph" w:styleId="Footer">
    <w:name w:val="footer"/>
    <w:basedOn w:val="Normal"/>
    <w:link w:val="FooterChar"/>
    <w:uiPriority w:val="99"/>
    <w:unhideWhenUsed/>
    <w:rsid w:val="00FC790D"/>
    <w:pPr>
      <w:tabs>
        <w:tab w:val="center" w:pos="4680"/>
        <w:tab w:val="right" w:pos="9360"/>
      </w:tabs>
    </w:pPr>
  </w:style>
  <w:style w:type="character" w:customStyle="1" w:styleId="FooterChar">
    <w:name w:val="Footer Char"/>
    <w:basedOn w:val="DefaultParagraphFont"/>
    <w:link w:val="Footer"/>
    <w:uiPriority w:val="99"/>
    <w:rsid w:val="00FC790D"/>
    <w:rPr>
      <w:rFonts w:ascii="Arial" w:eastAsia="Arial" w:hAnsi="Arial" w:cs="Arial"/>
    </w:rPr>
  </w:style>
  <w:style w:type="paragraph" w:customStyle="1" w:styleId="Default">
    <w:name w:val="Default"/>
    <w:rsid w:val="00BA35B2"/>
    <w:pPr>
      <w:widowControl/>
      <w:adjustRightInd w:val="0"/>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ED0028"/>
    <w:rPr>
      <w:sz w:val="20"/>
      <w:szCs w:val="20"/>
    </w:rPr>
  </w:style>
  <w:style w:type="character" w:customStyle="1" w:styleId="FootnoteTextChar">
    <w:name w:val="Footnote Text Char"/>
    <w:basedOn w:val="DefaultParagraphFont"/>
    <w:link w:val="FootnoteText"/>
    <w:uiPriority w:val="99"/>
    <w:rsid w:val="00ED0028"/>
    <w:rPr>
      <w:rFonts w:ascii="Arial" w:eastAsia="Arial" w:hAnsi="Arial" w:cs="Arial"/>
      <w:sz w:val="20"/>
      <w:szCs w:val="20"/>
    </w:rPr>
  </w:style>
  <w:style w:type="character" w:styleId="FootnoteReference">
    <w:name w:val="footnote reference"/>
    <w:basedOn w:val="DefaultParagraphFont"/>
    <w:uiPriority w:val="99"/>
    <w:semiHidden/>
    <w:unhideWhenUsed/>
    <w:rsid w:val="00ED0028"/>
    <w:rPr>
      <w:vertAlign w:val="superscript"/>
    </w:rPr>
  </w:style>
  <w:style w:type="character" w:customStyle="1" w:styleId="Heading3Char">
    <w:name w:val="Heading 3 Char"/>
    <w:basedOn w:val="DefaultParagraphFont"/>
    <w:link w:val="Heading3"/>
    <w:uiPriority w:val="9"/>
    <w:rsid w:val="000063A4"/>
    <w:rPr>
      <w:rFonts w:eastAsia="Times New Roman" w:cs="Arial"/>
      <w:b/>
      <w:bCs/>
      <w:color w:val="000000"/>
      <w:sz w:val="24"/>
      <w:szCs w:val="24"/>
      <w:lang w:val="en-GB"/>
    </w:rPr>
  </w:style>
  <w:style w:type="paragraph" w:customStyle="1" w:styleId="Footnote">
    <w:name w:val="Footnote"/>
    <w:basedOn w:val="Normal"/>
    <w:link w:val="FootnoteChar"/>
    <w:qFormat/>
    <w:rsid w:val="009A5F0D"/>
    <w:pPr>
      <w:spacing w:after="0"/>
    </w:pPr>
    <w:rPr>
      <w:sz w:val="20"/>
      <w:szCs w:val="20"/>
    </w:rPr>
  </w:style>
  <w:style w:type="character" w:customStyle="1" w:styleId="FootnoteChar">
    <w:name w:val="Footnote Char"/>
    <w:basedOn w:val="DefaultParagraphFont"/>
    <w:link w:val="Footnote"/>
    <w:rsid w:val="009A5F0D"/>
    <w:rPr>
      <w:rFonts w:eastAsia="Times New Roman" w:cs="Arial"/>
      <w:color w:val="000000"/>
      <w:sz w:val="20"/>
      <w:szCs w:val="20"/>
      <w:lang w:val="en-GB"/>
    </w:rPr>
  </w:style>
  <w:style w:type="paragraph" w:customStyle="1" w:styleId="Heading">
    <w:name w:val="Heading"/>
    <w:basedOn w:val="Normal"/>
    <w:link w:val="HeadingChar"/>
    <w:qFormat/>
    <w:rsid w:val="00B55B33"/>
    <w:pPr>
      <w:spacing w:after="0"/>
      <w:jc w:val="center"/>
    </w:pPr>
    <w:rPr>
      <w:color w:val="003366"/>
      <w:sz w:val="20"/>
      <w:szCs w:val="20"/>
    </w:rPr>
  </w:style>
  <w:style w:type="character" w:customStyle="1" w:styleId="HeadingChar">
    <w:name w:val="Heading Char"/>
    <w:basedOn w:val="DefaultParagraphFont"/>
    <w:link w:val="Heading"/>
    <w:rsid w:val="00B55B33"/>
    <w:rPr>
      <w:rFonts w:ascii="Arial" w:eastAsia="Times New Roman" w:hAnsi="Arial" w:cs="Arial"/>
      <w:color w:val="003366"/>
      <w:sz w:val="20"/>
      <w:szCs w:val="20"/>
      <w:lang w:val="en-GB"/>
    </w:rPr>
  </w:style>
  <w:style w:type="paragraph" w:customStyle="1" w:styleId="PageNumber">
    <w:name w:val="PageNumber"/>
    <w:basedOn w:val="Heading"/>
    <w:link w:val="PageNumberChar"/>
    <w:qFormat/>
    <w:rsid w:val="001F2221"/>
    <w:pPr>
      <w:jc w:val="left"/>
    </w:pPr>
    <w:rPr>
      <w:sz w:val="22"/>
      <w:szCs w:val="22"/>
    </w:rPr>
  </w:style>
  <w:style w:type="character" w:customStyle="1" w:styleId="PageNumberChar">
    <w:name w:val="PageNumber Char"/>
    <w:basedOn w:val="HeadingChar"/>
    <w:link w:val="PageNumber"/>
    <w:rsid w:val="001F2221"/>
    <w:rPr>
      <w:rFonts w:ascii="Arial" w:eastAsia="Arial" w:hAnsi="Arial" w:cs="Arial"/>
      <w:color w:val="003366"/>
      <w:sz w:val="20"/>
      <w:szCs w:val="20"/>
      <w:lang w:val="en-GB"/>
    </w:rPr>
  </w:style>
  <w:style w:type="paragraph" w:customStyle="1" w:styleId="Bottom">
    <w:name w:val="Bottom"/>
    <w:basedOn w:val="Heading"/>
    <w:link w:val="BottomChar"/>
    <w:qFormat/>
    <w:rsid w:val="00B55B33"/>
    <w:pPr>
      <w:spacing w:before="120"/>
      <w:ind w:right="-590"/>
    </w:pPr>
  </w:style>
  <w:style w:type="character" w:customStyle="1" w:styleId="BottomChar">
    <w:name w:val="Bottom Char"/>
    <w:basedOn w:val="HeadingChar"/>
    <w:link w:val="Bottom"/>
    <w:rsid w:val="00B55B33"/>
    <w:rPr>
      <w:rFonts w:ascii="Arial" w:eastAsia="Times New Roman" w:hAnsi="Arial" w:cs="Arial"/>
      <w:color w:val="003366"/>
      <w:sz w:val="20"/>
      <w:szCs w:val="20"/>
      <w:lang w:val="en-GB"/>
    </w:rPr>
  </w:style>
  <w:style w:type="character" w:customStyle="1" w:styleId="Heading4Char">
    <w:name w:val="Heading 4 Char"/>
    <w:basedOn w:val="DefaultParagraphFont"/>
    <w:link w:val="Heading4"/>
    <w:uiPriority w:val="9"/>
    <w:rsid w:val="00AE55C7"/>
    <w:rPr>
      <w:rFonts w:asciiTheme="majorHAnsi" w:eastAsiaTheme="majorEastAsia" w:hAnsiTheme="majorHAnsi" w:cstheme="majorBidi"/>
      <w:i/>
      <w:iCs/>
      <w:color w:val="365F91" w:themeColor="accent1" w:themeShade="BF"/>
      <w:lang w:val="en-GB"/>
    </w:rPr>
  </w:style>
  <w:style w:type="paragraph" w:styleId="TOCHeading">
    <w:name w:val="TOC Heading"/>
    <w:basedOn w:val="Heading1"/>
    <w:next w:val="Normal"/>
    <w:uiPriority w:val="39"/>
    <w:unhideWhenUsed/>
    <w:qFormat/>
    <w:rsid w:val="006643B6"/>
    <w:pPr>
      <w:keepNext/>
      <w:keepLines/>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424631"/>
    <w:pPr>
      <w:tabs>
        <w:tab w:val="right" w:leader="dot" w:pos="9570"/>
      </w:tabs>
      <w:spacing w:after="100"/>
      <w:ind w:left="450"/>
    </w:pPr>
  </w:style>
  <w:style w:type="paragraph" w:styleId="TOC3">
    <w:name w:val="toc 3"/>
    <w:basedOn w:val="Normal"/>
    <w:next w:val="Normal"/>
    <w:autoRedefine/>
    <w:uiPriority w:val="39"/>
    <w:unhideWhenUsed/>
    <w:rsid w:val="006643B6"/>
    <w:pPr>
      <w:spacing w:after="100"/>
      <w:ind w:left="440"/>
    </w:pPr>
  </w:style>
  <w:style w:type="paragraph" w:styleId="BodyTextIndent">
    <w:name w:val="Body Text Indent"/>
    <w:basedOn w:val="Normal"/>
    <w:link w:val="BodyTextIndentChar"/>
    <w:uiPriority w:val="99"/>
    <w:semiHidden/>
    <w:unhideWhenUsed/>
    <w:rsid w:val="00226C5D"/>
    <w:pPr>
      <w:ind w:left="360"/>
    </w:pPr>
  </w:style>
  <w:style w:type="character" w:customStyle="1" w:styleId="BodyTextIndentChar">
    <w:name w:val="Body Text Indent Char"/>
    <w:basedOn w:val="DefaultParagraphFont"/>
    <w:link w:val="BodyTextIndent"/>
    <w:uiPriority w:val="99"/>
    <w:semiHidden/>
    <w:rsid w:val="00226C5D"/>
    <w:rPr>
      <w:rFonts w:eastAsia="Times New Roman" w:cs="Arial"/>
      <w:color w:val="000000"/>
      <w:sz w:val="24"/>
      <w:lang w:val="en-GB"/>
    </w:rPr>
  </w:style>
  <w:style w:type="paragraph" w:styleId="BodyTextIndent2">
    <w:name w:val="Body Text Indent 2"/>
    <w:basedOn w:val="Normal"/>
    <w:link w:val="BodyTextIndent2Char"/>
    <w:uiPriority w:val="99"/>
    <w:semiHidden/>
    <w:unhideWhenUsed/>
    <w:rsid w:val="00226C5D"/>
    <w:pPr>
      <w:spacing w:line="480" w:lineRule="auto"/>
      <w:ind w:left="360"/>
    </w:pPr>
  </w:style>
  <w:style w:type="character" w:customStyle="1" w:styleId="BodyTextIndent2Char">
    <w:name w:val="Body Text Indent 2 Char"/>
    <w:basedOn w:val="DefaultParagraphFont"/>
    <w:link w:val="BodyTextIndent2"/>
    <w:uiPriority w:val="99"/>
    <w:semiHidden/>
    <w:rsid w:val="00226C5D"/>
    <w:rPr>
      <w:rFonts w:eastAsia="Times New Roman" w:cs="Arial"/>
      <w:color w:val="000000"/>
      <w:sz w:val="24"/>
      <w:lang w:val="en-GB"/>
    </w:rPr>
  </w:style>
  <w:style w:type="paragraph" w:customStyle="1" w:styleId="Figure">
    <w:name w:val="Figure"/>
    <w:basedOn w:val="Normal"/>
    <w:link w:val="FigureChar"/>
    <w:qFormat/>
    <w:rsid w:val="00982B5C"/>
  </w:style>
  <w:style w:type="character" w:customStyle="1" w:styleId="FigureChar">
    <w:name w:val="Figure Char"/>
    <w:basedOn w:val="DefaultParagraphFont"/>
    <w:link w:val="Figure"/>
    <w:rsid w:val="00982B5C"/>
    <w:rPr>
      <w:rFonts w:eastAsia="Times New Roman" w:cs="Arial"/>
      <w:color w:val="000000"/>
      <w:sz w:val="24"/>
      <w:lang w:val="en-GB"/>
    </w:rPr>
  </w:style>
  <w:style w:type="paragraph" w:customStyle="1" w:styleId="pf0">
    <w:name w:val="pf0"/>
    <w:basedOn w:val="Normal"/>
    <w:rsid w:val="00B42659"/>
    <w:pPr>
      <w:autoSpaceDE/>
      <w:autoSpaceDN/>
      <w:adjustRightInd/>
      <w:spacing w:before="100" w:beforeAutospacing="1" w:after="100" w:afterAutospacing="1"/>
    </w:pPr>
    <w:rPr>
      <w:rFonts w:ascii="Times New Roman" w:hAnsi="Times New Roman" w:cs="Times New Roman"/>
      <w:color w:val="auto"/>
      <w:szCs w:val="24"/>
      <w:lang w:val="en-US"/>
    </w:rPr>
  </w:style>
  <w:style w:type="character" w:customStyle="1" w:styleId="cf01">
    <w:name w:val="cf01"/>
    <w:basedOn w:val="DefaultParagraphFont"/>
    <w:rsid w:val="00B42659"/>
    <w:rPr>
      <w:rFonts w:ascii="Segoe UI" w:hAnsi="Segoe UI" w:cs="Segoe U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92913">
      <w:bodyDiv w:val="1"/>
      <w:marLeft w:val="0"/>
      <w:marRight w:val="0"/>
      <w:marTop w:val="0"/>
      <w:marBottom w:val="0"/>
      <w:divBdr>
        <w:top w:val="none" w:sz="0" w:space="0" w:color="auto"/>
        <w:left w:val="none" w:sz="0" w:space="0" w:color="auto"/>
        <w:bottom w:val="none" w:sz="0" w:space="0" w:color="auto"/>
        <w:right w:val="none" w:sz="0" w:space="0" w:color="auto"/>
      </w:divBdr>
    </w:div>
    <w:div w:id="496968202">
      <w:bodyDiv w:val="1"/>
      <w:marLeft w:val="0"/>
      <w:marRight w:val="0"/>
      <w:marTop w:val="0"/>
      <w:marBottom w:val="0"/>
      <w:divBdr>
        <w:top w:val="none" w:sz="0" w:space="0" w:color="auto"/>
        <w:left w:val="none" w:sz="0" w:space="0" w:color="auto"/>
        <w:bottom w:val="none" w:sz="0" w:space="0" w:color="auto"/>
        <w:right w:val="none" w:sz="0" w:space="0" w:color="auto"/>
      </w:divBdr>
    </w:div>
    <w:div w:id="707485637">
      <w:bodyDiv w:val="1"/>
      <w:marLeft w:val="0"/>
      <w:marRight w:val="0"/>
      <w:marTop w:val="0"/>
      <w:marBottom w:val="0"/>
      <w:divBdr>
        <w:top w:val="none" w:sz="0" w:space="0" w:color="auto"/>
        <w:left w:val="none" w:sz="0" w:space="0" w:color="auto"/>
        <w:bottom w:val="none" w:sz="0" w:space="0" w:color="auto"/>
        <w:right w:val="none" w:sz="0" w:space="0" w:color="auto"/>
      </w:divBdr>
    </w:div>
    <w:div w:id="971911619">
      <w:bodyDiv w:val="1"/>
      <w:marLeft w:val="0"/>
      <w:marRight w:val="0"/>
      <w:marTop w:val="0"/>
      <w:marBottom w:val="0"/>
      <w:divBdr>
        <w:top w:val="none" w:sz="0" w:space="0" w:color="auto"/>
        <w:left w:val="none" w:sz="0" w:space="0" w:color="auto"/>
        <w:bottom w:val="none" w:sz="0" w:space="0" w:color="auto"/>
        <w:right w:val="none" w:sz="0" w:space="0" w:color="auto"/>
      </w:divBdr>
    </w:div>
    <w:div w:id="181563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skybrary.aero/articles/voluntary-occurrence-reporting" TargetMode="External"/><Relationship Id="rId21" Type="http://schemas.openxmlformats.org/officeDocument/2006/relationships/header" Target="header6.xm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bit.ly/SMICG" TargetMode="External"/><Relationship Id="rId25" Type="http://schemas.openxmlformats.org/officeDocument/2006/relationships/hyperlink" Target="https://skybrary.aero/articles/safety-management-terminology" TargetMode="External"/><Relationship Id="rId33" Type="http://schemas.openxmlformats.org/officeDocument/2006/relationships/hyperlink" Target="https://skybrary.aero/enhancing-safety/sm-icg-safety-management-product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micg.share@gmail.com" TargetMode="External"/><Relationship Id="rId20" Type="http://schemas.openxmlformats.org/officeDocument/2006/relationships/footer" Target="footer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kybrary.aero/sites/default/files/bookshelf/32973.pdf"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F4339B1114F54183B766947BD90B7A" ma:contentTypeVersion="3" ma:contentTypeDescription="Create a new document." ma:contentTypeScope="" ma:versionID="838b7ebf6a2a8164af5ae16d96f344a5">
  <xsd:schema xmlns:xsd="http://www.w3.org/2001/XMLSchema" xmlns:xs="http://www.w3.org/2001/XMLSchema" xmlns:p="http://schemas.microsoft.com/office/2006/metadata/properties" xmlns:ns3="1b294490-2f00-4473-afae-82745a8a825e" targetNamespace="http://schemas.microsoft.com/office/2006/metadata/properties" ma:root="true" ma:fieldsID="a7efd0c22914a86d28a06fdb76c0fadc" ns3:_="">
    <xsd:import namespace="1b294490-2f00-4473-afae-82745a8a82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94490-2f00-4473-afae-82745a8a8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8A3A9-C5ED-4627-8A8D-837771434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4D15D5-C548-4116-82D9-D8777D9AAD11}">
  <ds:schemaRefs>
    <ds:schemaRef ds:uri="http://schemas.openxmlformats.org/officeDocument/2006/bibliography"/>
  </ds:schemaRefs>
</ds:datastoreItem>
</file>

<file path=customXml/itemProps3.xml><?xml version="1.0" encoding="utf-8"?>
<ds:datastoreItem xmlns:ds="http://schemas.openxmlformats.org/officeDocument/2006/customXml" ds:itemID="{F03448DE-C618-4F19-882F-A63864939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94490-2f00-4473-afae-82745a8a8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4B3252-2F9D-441A-AB6F-69B39E3EE2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4012</Words>
  <Characters>24076</Characters>
  <Application>Microsoft Office Word</Application>
  <DocSecurity>0</DocSecurity>
  <Lines>429</Lines>
  <Paragraphs>224</Paragraphs>
  <ScaleCrop>false</ScaleCrop>
  <HeadingPairs>
    <vt:vector size="2" baseType="variant">
      <vt:variant>
        <vt:lpstr>Title</vt:lpstr>
      </vt:variant>
      <vt:variant>
        <vt:i4>1</vt:i4>
      </vt:variant>
    </vt:vector>
  </HeadingPairs>
  <TitlesOfParts>
    <vt:vector size="1" baseType="lpstr">
      <vt:lpstr>VSRS</vt:lpstr>
    </vt:vector>
  </TitlesOfParts>
  <Company>Federal Aviation Administration</Company>
  <LinksUpToDate>false</LinksUpToDate>
  <CharactersWithSpaces>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Implementing or Improving Voluntary Safety Reporting at the State Level</dc:title>
  <dc:subject/>
  <dc:creator>smicg.share@gmail.com</dc:creator>
  <cp:keywords/>
  <dc:description/>
  <cp:lastModifiedBy>Sue King</cp:lastModifiedBy>
  <cp:revision>7</cp:revision>
  <cp:lastPrinted>2023-06-02T15:33:00Z</cp:lastPrinted>
  <dcterms:created xsi:type="dcterms:W3CDTF">2025-01-22T19:23:00Z</dcterms:created>
  <dcterms:modified xsi:type="dcterms:W3CDTF">2025-01-22T19:39:00Z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0x010100B8F4339B1114F54183B766947BD90B7A</vt:lpwstr>
  </property>
  <property fmtid="{D5CDD505-2E9C-101B-9397-08002B2CF9AE}" pid="3" name="MSIP_Label_5434c4c7-833e-41e4-b0ab-cdb227a2f6f7_Enabled">
    <vt:lpwstr>true</vt:lpwstr>
  </property>
  <property fmtid="{D5CDD505-2E9C-101B-9397-08002B2CF9AE}" pid="4" name="MSIP_Label_5434c4c7-833e-41e4-b0ab-cdb227a2f6f7_SetDate">
    <vt:lpwstr>2024-05-08T19:48:21Z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4cf5cf81-36bd-498d-a2bd-c6df50621e5c</vt:lpwstr>
  </property>
  <property fmtid="{D5CDD505-2E9C-101B-9397-08002B2CF9AE}" pid="9" name="MSIP_Label_5434c4c7-833e-41e4-b0ab-cdb227a2f6f7_ContentBits">
    <vt:lpwstr>0</vt:lpwstr>
  </property>
</Properties>
</file>